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Gabay Avraham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LIFEWARD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CABOT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HUDSON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Lifeward Ltd.</w:t>
              </w:r>
            </w:hyperlink>
            <w:r>
              <w:rPr/>
              <w:t xml:space="preserve"> [ </w:t>
            </w:r>
            <w:r>
              <w:rPr>
                <w:rFonts w:ascii="Times;serif" w:hAnsi="Times;serif"/>
                <w:color w:val="0000FF"/>
                <w:sz w:val="24"/>
                <w:shd w:fill="FFFFFF" w:val="clear"/>
              </w:rPr>
              <w:t>LFWD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5"/>
        <w:gridCol w:w="906"/>
        <w:gridCol w:w="774"/>
        <w:gridCol w:w="601"/>
        <w:gridCol w:w="351"/>
        <w:gridCol w:w="979"/>
        <w:gridCol w:w="460"/>
        <w:gridCol w:w="623"/>
        <w:gridCol w:w="1173"/>
        <w:gridCol w:w="1005"/>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no par value per share</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13,643</w:t>
            </w:r>
            <w:r>
              <w:rPr>
                <w:rFonts w:ascii="Times;serif" w:hAnsi="Times;serif"/>
                <w:color w:val="008000"/>
                <w:position w:val="7"/>
                <w:sz w:val="16"/>
                <w:sz w:val="20"/>
                <w:shd w:fill="FFFFFF" w:val="clear"/>
              </w:rPr>
              <w:t>(1)</w:t>
            </w:r>
          </w:p>
        </w:tc>
        <w:tc>
          <w:tcPr>
            <w:tcW w:w="4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13,643</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13,643 ordinary shares, no par value per share, issuable upon the vesting of restricted stock units ("RSUs") granted on August 20, 2026 (the "Grant Date") under the Issuer's 2025 Incentive Compensation Plan. The RSUs vest ratably in four equal quarterly installments commencing from the Grant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Almog Adar,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7328" TargetMode="External"/><Relationship Id="rId5" Type="http://schemas.openxmlformats.org/officeDocument/2006/relationships/hyperlink" Target="http://www.sec.gov/cgi-bin/browse-edgar?action=getcompany&amp;CIK=00016079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614</Words>
  <Characters>3332</Characters>
  <CharactersWithSpaces>3879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