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Washington, D.C. 20549</w:t>
      </w:r>
    </w:p>
    <w:p>
      <w:pPr>
        <w:pStyle w:val="TextBody"/>
        <w:bidi w:val="0"/>
        <w:spacing w:lineRule="auto" w:line="300" w:before="0" w:after="0"/>
        <w:ind w:left="0" w:right="0" w:firstLine="72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FORM 8-K</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REPORT</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Pursuant to Section 13 or 15(d) of the Securities Exchange Act of 1934 </w:t>
      </w:r>
    </w:p>
    <w:p>
      <w:pPr>
        <w:pStyle w:val="TextBody"/>
        <w:bidi w:val="0"/>
        <w:spacing w:lineRule="auto" w:line="300" w:before="0" w:after="0"/>
        <w:ind w:left="0" w:right="0" w:firstLine="720"/>
        <w:jc w:val="both"/>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 xml:space="preserve">Date of Report (Date of earliest event reported): </w:t>
      </w:r>
      <w:r>
        <w:rPr>
          <w:rFonts w:ascii="Times New Roman;Times;serif" w:hAnsi="Times New Roman;Times;serif"/>
          <w:b w:val="false"/>
          <w:color w:val="000000"/>
          <w:sz w:val="20"/>
          <w:u w:val="single"/>
          <w:shd w:fill="FFFFFF" w:val="clear"/>
        </w:rPr>
        <w:t>August 10, 2026</w:t>
      </w:r>
    </w:p>
    <w:p>
      <w:pPr>
        <w:pStyle w:val="TextBody"/>
        <w:bidi w:val="0"/>
        <w:spacing w:lineRule="auto" w:line="300" w:before="0" w:after="0"/>
        <w:ind w:left="0" w:right="0" w:firstLine="720"/>
        <w:jc w:val="both"/>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Lifeward Ltd.</w:t>
      </w:r>
    </w:p>
    <w:p>
      <w:pPr>
        <w:pStyle w:val="HorizontalLine"/>
        <w:bidi w:val="0"/>
        <w:spacing w:lineRule="auto" w:line="300"/>
        <w:jc w:val="center"/>
        <w:rPr/>
      </w:pPr>
      <w:r>
        <w:rPr/>
      </w:r>
    </w:p>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(Exact name of registrant as specified in its charter)</w:t>
      </w:r>
    </w:p>
    <w:p>
      <w:pPr>
        <w:pStyle w:val="TextBody"/>
        <w:bidi w:val="0"/>
        <w:spacing w:lineRule="auto" w:line="300" w:before="0" w:after="0"/>
        <w:ind w:left="0" w:right="0" w:firstLine="720"/>
        <w:jc w:val="center"/>
        <w:rPr>
          <w:color w:val="000000"/>
          <w:shd w:fill="FFFFFF" w:val="clear"/>
        </w:rPr>
      </w:pPr>
      <w:r>
        <w:rPr>
          <w:color w:val="000000"/>
          <w:shd w:fill="FFFFFF" w:val="clear"/>
        </w:rPr>
        <w:t>  </w:t>
      </w:r>
    </w:p>
    <w:tbl>
      <w:tblPr>
        <w:tblW w:w="8715" w:type="dxa"/>
        <w:jc w:val="left"/>
        <w:tblInd w:w="0" w:type="dxa"/>
        <w:tblLayout w:type="fixed"/>
        <w:tblCellMar>
          <w:top w:w="0" w:type="dxa"/>
          <w:left w:w="0" w:type="dxa"/>
          <w:bottom w:w="28" w:type="dxa"/>
          <w:right w:w="0" w:type="dxa"/>
        </w:tblCellMar>
      </w:tblPr>
      <w:tblGrid>
        <w:gridCol w:w="3620"/>
        <w:gridCol w:w="60"/>
        <w:gridCol w:w="2210"/>
        <w:gridCol w:w="60"/>
        <w:gridCol w:w="2765"/>
      </w:tblGrid>
      <w:tr>
        <w:trPr/>
        <w:tc>
          <w:tcPr>
            <w:tcW w:w="362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Israel</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001-36612</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Not applicable</w:t>
            </w:r>
          </w:p>
        </w:tc>
      </w:tr>
      <w:tr>
        <w:trPr/>
        <w:tc>
          <w:tcPr>
            <w:tcW w:w="362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(IRS Employer Identification No.)</w:t>
            </w:r>
          </w:p>
        </w:tc>
      </w:tr>
    </w:tbl>
    <w:p>
      <w:pPr>
        <w:pStyle w:val="TextBody"/>
        <w:bidi w:val="0"/>
        <w:spacing w:before="0" w:after="0"/>
        <w:jc w:val="left"/>
        <w:rPr/>
      </w:pPr>
      <w:r>
        <w:rPr/>
      </w:r>
    </w:p>
    <w:tbl>
      <w:tblPr>
        <w:tblW w:w="4165" w:type="dxa"/>
        <w:jc w:val="left"/>
        <w:tblInd w:w="0" w:type="dxa"/>
        <w:tblLayout w:type="fixed"/>
        <w:tblCellMar>
          <w:top w:w="0" w:type="dxa"/>
          <w:left w:w="0" w:type="dxa"/>
          <w:bottom w:w="28" w:type="dxa"/>
          <w:right w:w="0" w:type="dxa"/>
        </w:tblCellMar>
      </w:tblPr>
      <w:tblGrid>
        <w:gridCol w:w="3200"/>
        <w:gridCol w:w="60"/>
        <w:gridCol w:w="905"/>
      </w:tblGrid>
      <w:tr>
        <w:trPr/>
        <w:tc>
          <w:tcPr>
            <w:tcW w:w="32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val="false"/>
                <w:sz w:val="20"/>
              </w:rPr>
              <w:t>2 Cabot Rd., Hudson, MA</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lineRule="auto" w:line="300" w:before="0" w:after="0"/>
              <w:jc w:val="center"/>
              <w:rPr/>
            </w:pPr>
            <w:r>
              <w:rPr/>
              <w:t> </w:t>
            </w:r>
          </w:p>
        </w:tc>
        <w:tc>
          <w:tcPr>
            <w:tcW w:w="90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01749</w:t>
            </w:r>
          </w:p>
        </w:tc>
      </w:tr>
      <w:tr>
        <w:trPr/>
        <w:tc>
          <w:tcPr>
            <w:tcW w:w="320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(Address of principal executive offices)</w:t>
            </w:r>
          </w:p>
        </w:tc>
        <w:tc>
          <w:tcPr>
            <w:tcW w:w="60" w:type="dxa"/>
            <w:tcBorders/>
            <w:tcMar>
              <w:bottom w:w="0" w:type="dxa"/>
            </w:tcMar>
            <w:vAlign w:val="center"/>
          </w:tcPr>
          <w:p>
            <w:pPr>
              <w:pStyle w:val="TableContents"/>
              <w:bidi w:val="0"/>
              <w:spacing w:lineRule="auto" w:line="300" w:before="0" w:after="0"/>
              <w:jc w:val="center"/>
              <w:rPr/>
            </w:pPr>
            <w:r>
              <w:rPr/>
              <w:t> </w:t>
            </w:r>
          </w:p>
        </w:tc>
        <w:tc>
          <w:tcPr>
            <w:tcW w:w="905"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(Zip Code)</w:t>
            </w:r>
          </w:p>
        </w:tc>
      </w:tr>
    </w:tbl>
    <w:p>
      <w:pPr>
        <w:pStyle w:val="TextBody"/>
        <w:bidi w:val="0"/>
        <w:spacing w:lineRule="auto" w:line="300" w:before="0" w:after="0"/>
        <w:ind w:left="0" w:right="0" w:firstLine="72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val="false"/>
          <w:color w:val="000000"/>
          <w:sz w:val="20"/>
          <w:shd w:fill="FFFFFF" w:val="clear"/>
        </w:rPr>
        <w:t xml:space="preserve">Registrant’s telephone number, including area code: </w:t>
      </w:r>
      <w:r>
        <w:rPr>
          <w:rFonts w:ascii="Times New Roman;Times;serif" w:hAnsi="Times New Roman;Times;serif"/>
          <w:b w:val="false"/>
          <w:color w:val="000000"/>
          <w:sz w:val="20"/>
          <w:u w:val="single"/>
          <w:shd w:fill="FFFFFF" w:val="clear"/>
        </w:rPr>
        <w:t>+508.251.1154</w:t>
      </w:r>
      <w:r>
        <w:rPr>
          <w:rFonts w:ascii="Times New Roman;Times;serif" w:hAnsi="Times New Roman;Times;serif"/>
          <w:b/>
          <w:color w:val="000000"/>
          <w:sz w:val="20"/>
          <w:u w:val="single"/>
          <w:shd w:fill="FFFFFF" w:val="clear"/>
        </w:rPr>
        <w:t xml:space="preserve"> </w:t>
      </w:r>
    </w:p>
    <w:p>
      <w:pPr>
        <w:pStyle w:val="TextBody"/>
        <w:bidi w:val="0"/>
        <w:spacing w:before="0" w:after="0"/>
        <w:jc w:val="left"/>
        <w:rPr/>
      </w:pPr>
      <w:r>
        <w:rPr/>
      </w:r>
    </w:p>
    <w:tbl>
      <w:tblPr>
        <w:tblW w:w="1460" w:type="dxa"/>
        <w:jc w:val="center"/>
        <w:tblInd w:w="0" w:type="dxa"/>
        <w:tblLayout w:type="fixed"/>
        <w:tblCellMar>
          <w:top w:w="0" w:type="dxa"/>
          <w:left w:w="0" w:type="dxa"/>
          <w:bottom w:w="28" w:type="dxa"/>
          <w:right w:w="0" w:type="dxa"/>
        </w:tblCellMar>
      </w:tblPr>
      <w:tblGrid>
        <w:gridCol w:w="1460"/>
      </w:tblGrid>
      <w:tr>
        <w:trPr/>
        <w:tc>
          <w:tcPr>
            <w:tcW w:w="1460" w:type="dxa"/>
            <w:tcBorders>
              <w:bottom w:val="single" w:sz="12" w:space="0" w:color="000000"/>
            </w:tcBorders>
            <w:vAlign w:val="center"/>
          </w:tcPr>
          <w:p>
            <w:pPr>
              <w:pStyle w:val="TableContents"/>
              <w:bidi w:val="0"/>
              <w:spacing w:before="0" w:after="0"/>
              <w:jc w:val="center"/>
              <w:rPr>
                <w:b w:val="false"/>
              </w:rPr>
            </w:pPr>
            <w:r>
              <w:rPr>
                <w:b w:val="false"/>
              </w:rPr>
              <w:t xml:space="preserve">Not applicable </w:t>
            </w:r>
          </w:p>
        </w:tc>
      </w:tr>
    </w:tbl>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(Former name or former address, if changed since last report)</w:t>
      </w:r>
    </w:p>
    <w:p>
      <w:pPr>
        <w:pStyle w:val="TextBody"/>
        <w:bidi w:val="0"/>
        <w:spacing w:lineRule="auto" w:line="300" w:before="0" w:after="0"/>
        <w:jc w:val="left"/>
        <w:rPr/>
      </w:pPr>
      <w:r>
        <w:rPr/>
      </w:r>
    </w:p>
    <w:tbl>
      <w:tblPr>
        <w:tblW w:w="8070" w:type="dxa"/>
        <w:jc w:val="left"/>
        <w:tblInd w:w="0" w:type="dxa"/>
        <w:tblLayout w:type="fixed"/>
        <w:tblCellMar>
          <w:top w:w="0" w:type="dxa"/>
          <w:left w:w="0" w:type="dxa"/>
          <w:bottom w:w="28" w:type="dxa"/>
          <w:right w:w="0" w:type="dxa"/>
        </w:tblCellMar>
      </w:tblPr>
      <w:tblGrid>
        <w:gridCol w:w="2840"/>
        <w:gridCol w:w="60"/>
        <w:gridCol w:w="1415"/>
        <w:gridCol w:w="60"/>
        <w:gridCol w:w="3695"/>
      </w:tblGrid>
      <w:tr>
        <w:trPr/>
        <w:tc>
          <w:tcPr>
            <w:tcW w:w="2840"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w:t>
              <w:br/>
              <w:t>Section 12(b) of the Exchange Act</w:t>
            </w:r>
          </w:p>
        </w:tc>
        <w:tc>
          <w:tcPr>
            <w:tcW w:w="60" w:type="dxa"/>
            <w:tcBorders/>
            <w:tcMar>
              <w:bottom w:w="0" w:type="dxa"/>
            </w:tcMar>
            <w:vAlign w:val="center"/>
          </w:tcPr>
          <w:p>
            <w:pPr>
              <w:pStyle w:val="TableContents"/>
              <w:bidi w:val="0"/>
              <w:spacing w:lineRule="auto" w:line="300" w:before="0" w:after="0"/>
              <w:jc w:val="center"/>
              <w:rPr/>
            </w:pPr>
            <w:r>
              <w:rPr/>
              <w:t> </w:t>
            </w:r>
          </w:p>
        </w:tc>
        <w:tc>
          <w:tcPr>
            <w:tcW w:w="1415"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Trading Symbol</w:t>
            </w:r>
          </w:p>
        </w:tc>
        <w:tc>
          <w:tcPr>
            <w:tcW w:w="60" w:type="dxa"/>
            <w:tcBorders/>
            <w:tcMar>
              <w:bottom w:w="0" w:type="dxa"/>
            </w:tcMar>
            <w:vAlign w:val="center"/>
          </w:tcPr>
          <w:p>
            <w:pPr>
              <w:pStyle w:val="TableContents"/>
              <w:bidi w:val="0"/>
              <w:spacing w:lineRule="auto" w:line="300" w:before="0" w:after="0"/>
              <w:jc w:val="center"/>
              <w:rPr/>
            </w:pPr>
            <w:r>
              <w:rPr/>
              <w:t> </w:t>
            </w:r>
          </w:p>
        </w:tc>
        <w:tc>
          <w:tcPr>
            <w:tcW w:w="3695"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Ordinary shares, no par value  </w:t>
            </w:r>
          </w:p>
        </w:tc>
        <w:tc>
          <w:tcPr>
            <w:tcW w:w="60" w:type="dxa"/>
            <w:tcBorders/>
            <w:shd w:fill="CCEEFF" w:val="clear"/>
            <w:tcMar>
              <w:bottom w:w="0" w:type="dxa"/>
            </w:tcMar>
            <w:vAlign w:val="center"/>
          </w:tcPr>
          <w:p>
            <w:pPr>
              <w:pStyle w:val="TableContents"/>
              <w:bidi w:val="0"/>
              <w:spacing w:lineRule="auto" w:line="300" w:before="0" w:after="0"/>
              <w:jc w:val="both"/>
              <w:rPr/>
            </w:pPr>
            <w:r>
              <w:rPr/>
              <w:t> </w:t>
            </w:r>
          </w:p>
        </w:tc>
        <w:tc>
          <w:tcPr>
            <w:tcW w:w="141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LFWD</w:t>
            </w:r>
          </w:p>
        </w:tc>
        <w:tc>
          <w:tcPr>
            <w:tcW w:w="60" w:type="dxa"/>
            <w:tcBorders/>
            <w:shd w:fill="CCEEFF" w:val="clear"/>
            <w:tcMar>
              <w:bottom w:w="0" w:type="dxa"/>
            </w:tcMar>
            <w:vAlign w:val="center"/>
          </w:tcPr>
          <w:p>
            <w:pPr>
              <w:pStyle w:val="TableContents"/>
              <w:bidi w:val="0"/>
              <w:spacing w:lineRule="auto" w:line="300" w:before="0" w:after="0"/>
              <w:jc w:val="both"/>
              <w:rPr/>
            </w:pPr>
            <w:r>
              <w:rPr/>
              <w:t> </w:t>
            </w:r>
          </w:p>
        </w:tc>
        <w:tc>
          <w:tcPr>
            <w:tcW w:w="369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olor w:val="000000"/>
          <w:sz w:val="20"/>
          <w:shd w:fill="FFFFFF" w:val="clear"/>
        </w:rPr>
        <w:t>see </w:t>
      </w:r>
      <w:r>
        <w:rPr>
          <w:rFonts w:ascii="Times New Roman;Times;serif" w:hAnsi="Times New Roman;Times;serif"/>
          <w:b w:val="false"/>
          <w:color w:val="000000"/>
          <w:sz w:val="20"/>
          <w:shd w:fill="FFFFFF" w:val="clear"/>
        </w:rPr>
        <w:t>General Instruction A.2. below):</w:t>
      </w:r>
    </w:p>
    <w:p>
      <w:pPr>
        <w:pStyle w:val="TextBody"/>
        <w:bidi w:val="0"/>
        <w:spacing w:lineRule="auto" w:line="300" w:before="0" w:after="0"/>
        <w:jc w:val="both"/>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lineRule="auto" w:line="300" w:before="0" w:after="0"/>
              <w:jc w:val="left"/>
              <w:rPr/>
            </w:pPr>
            <w:r>
              <w:rPr/>
              <w:t>☐</w:t>
            </w:r>
          </w:p>
        </w:tc>
        <w:tc>
          <w:tcPr>
            <w:tcW w:w="72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lineRule="auto" w:line="300" w:before="0" w:after="0"/>
              <w:jc w:val="left"/>
              <w:rPr/>
            </w:pPr>
            <w:r>
              <w:rPr/>
              <w:t>☐</w:t>
            </w:r>
          </w:p>
        </w:tc>
        <w:tc>
          <w:tcPr>
            <w:tcW w:w="90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lineRule="auto" w:line="300" w:before="0" w:after="0"/>
              <w:jc w:val="left"/>
              <w:rPr/>
            </w:pPr>
            <w:r>
              <w:rPr/>
              <w:t>☐</w:t>
            </w:r>
          </w:p>
        </w:tc>
        <w:tc>
          <w:tcPr>
            <w:tcW w:w="90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lineRule="auto" w:line="300" w:before="0" w:after="0"/>
        <w:ind w:left="0" w:right="0" w:firstLine="72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2.02             Results of Operations and Financial Condition.</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14, 2026, Lifeward Ltd. (the “Company”) issued a press release announcing its financial results for the second quarter ended June 30, 2026. A copy of the press release is being furnished herewith as Exhibit 99.1.</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furnished pursuant to this Item 2.02, including Exhibit 99.1, shall not be deemed “filed” for purposes of Section 18 of the Securities Exchange Act of 1934, as amended (the “1934 Act”), nor shall it be deemed “incorporated by reference” into any filing under the Securities Act of 1933, as amended, or the 1934 Act, except as may be expressly set forth by specific reference in such filing.</w:t>
      </w:r>
    </w:p>
    <w:p>
      <w:pPr>
        <w:pStyle w:val="TextBody"/>
        <w:bidi w:val="0"/>
        <w:spacing w:lineRule="auto" w:line="300"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21"/>
        <w:gridCol w:w="9484"/>
      </w:tblGrid>
      <w:tr>
        <w:trPr/>
        <w:tc>
          <w:tcPr>
            <w:tcW w:w="7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Resignation of Directors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12, 2026, each of Robert J. Marshall, Jr., Michael Swinford and William Mark Sigsbee notified the Board of their decision to step down from the Board, effective as of August 13, 2026. The departure of each of Messrs. Marshall, Swinford and Sigsbee did not result from any disagreement with the Company on any matter relating to its operations, policies or practices. The Company extends its deepest gratitude to each of Messrs. Marshall, Swinford and Sigsbee for their distinguished service to the Board and lasting contributions to the Company.</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Departure of Chief Financial Officer</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14, 2026, the Company announced that Almog Adar will step down as the Chief Financial Officer of the Company. Mr. Adar will continue to serve in his existing role through September 30, 2026 to assist with a transition to a successor. For purposes of the separation benefits under his existing employment agreement, as amended, Mr. Adar’s departure will be treated as a termination without cause. On August 10, 2026, the Company entered into a separation agreement with Mr. Adar providing for separation benefits substantially similar to those contemplated by Mr. Adar’s existing employment agreement. A copy of Mr. Adar’s separation agreement will be filed as an exhibit to the Company’s Quarterly Report on Form 10-Q for the quarter ended September 30, 2026.</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Item 9.01</w:t>
      </w:r>
      <w:r>
        <w:rPr>
          <w:rFonts w:ascii="Times New Roman;Times;serif" w:hAnsi="Times New Roman;Times;serif"/>
          <w:color w:val="000000"/>
          <w:sz w:val="20"/>
          <w:shd w:fill="FFFFFF" w:val="clear"/>
        </w:rPr>
        <w:t xml:space="preserve">           </w:t>
      </w:r>
      <w:r>
        <w:rPr>
          <w:rFonts w:ascii="Times New Roman;Times;serif" w:hAnsi="Times New Roman;Times;serif"/>
          <w:b/>
          <w:color w:val="000000"/>
          <w:sz w:val="20"/>
          <w:shd w:fill="FFFFFF" w:val="clear"/>
        </w:rPr>
        <w:t>Financial Statements and Exhibits.</w:t>
      </w:r>
    </w:p>
    <w:p>
      <w:pPr>
        <w:pStyle w:val="TextBody"/>
        <w:bidi w:val="0"/>
        <w:spacing w:lineRule="auto" w:line="300"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10205" w:type="dxa"/>
            <w:gridSpan w:val="2"/>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 Exhibits</w:t>
            </w:r>
          </w:p>
          <w:p>
            <w:pPr>
              <w:pStyle w:val="TableContents"/>
              <w:bidi w:val="0"/>
              <w:spacing w:lineRule="auto" w:line="300" w:before="0" w:after="0"/>
              <w:jc w:val="left"/>
              <w:rPr/>
            </w:pPr>
            <w:r>
              <w:rPr/>
              <w:t> </w:t>
            </w:r>
          </w:p>
        </w:tc>
      </w:tr>
      <w:tr>
        <w:trPr/>
        <w:tc>
          <w:tcPr>
            <w:tcW w:w="395" w:type="dxa"/>
            <w:tcBorders/>
            <w:vAlign w:val="center"/>
          </w:tcPr>
          <w:p>
            <w:pPr>
              <w:pStyle w:val="TableContents"/>
              <w:bidi w:val="0"/>
              <w:spacing w:lineRule="auto" w:line="300" w:before="0" w:after="0"/>
              <w:jc w:val="left"/>
              <w:rPr/>
            </w:pPr>
            <w:hyperlink w:anchor="exhibit_99-1.htm">
              <w:r>
                <w:rPr>
                  <w:rStyle w:val="InternetLink"/>
                  <w:rFonts w:ascii="Times New Roman;Times;serif" w:hAnsi="Times New Roman;Times;serif"/>
                  <w:sz w:val="20"/>
                </w:rPr>
                <w:t>99.1</w:t>
              </w:r>
            </w:hyperlink>
          </w:p>
        </w:tc>
        <w:tc>
          <w:tcPr>
            <w:tcW w:w="9810" w:type="dxa"/>
            <w:tcBorders/>
            <w:vAlign w:val="center"/>
          </w:tcPr>
          <w:p>
            <w:pPr>
              <w:pStyle w:val="TableContents"/>
              <w:bidi w:val="0"/>
              <w:spacing w:lineRule="auto" w:line="300" w:before="0" w:after="0"/>
              <w:jc w:val="left"/>
              <w:rPr/>
            </w:pPr>
            <w:hyperlink w:anchor="exhibit_99-1.htm">
              <w:r>
                <w:rPr>
                  <w:rStyle w:val="InternetLink"/>
                </w:rPr>
                <w:t xml:space="preserve">Press release dated August 14, 2026 of Lifeward Ltd., announcing financial results for the second quarter ended June 30, 2026.* </w:t>
              </w:r>
            </w:hyperlink>
          </w:p>
        </w:tc>
      </w:tr>
      <w:tr>
        <w:trPr/>
        <w:tc>
          <w:tcPr>
            <w:tcW w:w="3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735" w:type="dxa"/>
        <w:jc w:val="left"/>
        <w:tblInd w:w="0" w:type="dxa"/>
        <w:tblLayout w:type="fixed"/>
        <w:tblCellMar>
          <w:top w:w="0" w:type="dxa"/>
          <w:left w:w="0" w:type="dxa"/>
          <w:bottom w:w="0" w:type="dxa"/>
          <w:right w:w="0" w:type="dxa"/>
        </w:tblCellMar>
      </w:tblPr>
      <w:tblGrid>
        <w:gridCol w:w="140"/>
        <w:gridCol w:w="1595"/>
      </w:tblGrid>
      <w:tr>
        <w:trPr/>
        <w:tc>
          <w:tcPr>
            <w:tcW w:w="1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5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r>
    </w:p>
    <w:p>
      <w:pPr>
        <w:pStyle w:val="HorizontalLine"/>
        <w:bidi w:val="0"/>
        <w:spacing w:before="200" w:after="200"/>
        <w:jc w:val="lef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r>
    </w:p>
    <w:p>
      <w:pPr>
        <w:pStyle w:val="TextBody"/>
        <w:bidi w:val="0"/>
        <w:spacing w:lineRule="auto" w:line="30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lineRule="auto" w:line="300" w:before="0" w:after="0"/>
        <w:jc w:val="left"/>
        <w:rPr>
          <w:color w:val="000000"/>
          <w:shd w:fill="FFFFFF" w:val="clear"/>
        </w:rPr>
      </w:pPr>
      <w:r>
        <w:rPr>
          <w:color w:val="000000"/>
          <w:shd w:fill="FFFFFF" w:val="clear"/>
        </w:rPr>
        <w:t> </w:t>
      </w:r>
    </w:p>
    <w:tbl>
      <w:tblPr>
        <w:tblW w:w="4380" w:type="dxa"/>
        <w:jc w:val="left"/>
        <w:tblInd w:w="0" w:type="dxa"/>
        <w:tblLayout w:type="fixed"/>
        <w:tblCellMar>
          <w:top w:w="0" w:type="dxa"/>
          <w:left w:w="0" w:type="dxa"/>
          <w:bottom w:w="0" w:type="dxa"/>
          <w:right w:w="0" w:type="dxa"/>
        </w:tblCellMar>
      </w:tblPr>
      <w:tblGrid>
        <w:gridCol w:w="1955"/>
        <w:gridCol w:w="545"/>
        <w:gridCol w:w="1880"/>
      </w:tblGrid>
      <w:tr>
        <w:trPr/>
        <w:tc>
          <w:tcPr>
            <w:tcW w:w="1955" w:type="dxa"/>
            <w:tcBorders/>
            <w:vAlign w:val="center"/>
          </w:tcPr>
          <w:p>
            <w:pPr>
              <w:pStyle w:val="TableContents"/>
              <w:bidi w:val="0"/>
              <w:spacing w:lineRule="auto" w:line="300" w:before="0" w:after="0"/>
              <w:jc w:val="left"/>
              <w:rPr>
                <w:color w:val="000000"/>
              </w:rPr>
            </w:pPr>
            <w:r>
              <w:rPr>
                <w:color w:val="000000"/>
              </w:rPr>
              <w:t> </w:t>
            </w:r>
          </w:p>
        </w:tc>
        <w:tc>
          <w:tcPr>
            <w:tcW w:w="2425" w:type="dxa"/>
            <w:gridSpan w:val="2"/>
            <w:tcBorders/>
            <w:vAlign w:val="center"/>
          </w:tcPr>
          <w:p>
            <w:pPr>
              <w:pStyle w:val="TableContents"/>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Lifeward Ltd.</w:t>
            </w:r>
          </w:p>
        </w:tc>
      </w:tr>
      <w:tr>
        <w:trPr/>
        <w:tc>
          <w:tcPr>
            <w:tcW w:w="19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Dated: August 14, 2026</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By:</w:t>
            </w:r>
          </w:p>
        </w:tc>
        <w:tc>
          <w:tcPr>
            <w:tcW w:w="188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/s/ Almog Adar</w:t>
            </w:r>
          </w:p>
        </w:tc>
      </w:tr>
      <w:tr>
        <w:trPr/>
        <w:tc>
          <w:tcPr>
            <w:tcW w:w="1955" w:type="dxa"/>
            <w:tcBorders/>
            <w:vAlign w:val="center"/>
          </w:tcPr>
          <w:p>
            <w:pPr>
              <w:pStyle w:val="TableContents"/>
              <w:bidi w:val="0"/>
              <w:spacing w:lineRule="auto" w:line="300" w:before="0" w:after="0"/>
              <w:jc w:val="left"/>
              <w:rPr>
                <w:color w:val="000000"/>
              </w:rPr>
            </w:pPr>
            <w:r>
              <w:rPr>
                <w:color w:val="000000"/>
              </w:rPr>
              <w:t> </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Name:</w:t>
            </w:r>
          </w:p>
        </w:tc>
        <w:tc>
          <w:tcPr>
            <w:tcW w:w="1880"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Almog Adar</w:t>
            </w:r>
          </w:p>
        </w:tc>
      </w:tr>
      <w:tr>
        <w:trPr/>
        <w:tc>
          <w:tcPr>
            <w:tcW w:w="1955" w:type="dxa"/>
            <w:tcBorders/>
            <w:vAlign w:val="center"/>
          </w:tcPr>
          <w:p>
            <w:pPr>
              <w:pStyle w:val="TableContents"/>
              <w:bidi w:val="0"/>
              <w:spacing w:lineRule="auto" w:line="300" w:before="0" w:after="0"/>
              <w:jc w:val="left"/>
              <w:rPr>
                <w:color w:val="000000"/>
              </w:rPr>
            </w:pPr>
            <w:r>
              <w:rPr>
                <w:color w:val="000000"/>
              </w:rPr>
              <w:t> </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Title:</w:t>
            </w:r>
          </w:p>
        </w:tc>
        <w:tc>
          <w:tcPr>
            <w:tcW w:w="1880"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Chief Financial Officer</w:t>
            </w:r>
          </w:p>
        </w:tc>
      </w:tr>
    </w:tbl>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lineRule="auto" w:line="300"/>
        <w:jc w:val="left"/>
        <w:rPr/>
      </w:pPr>
      <w:r>
        <w:rPr/>
      </w:r>
    </w:p>
    <w:p>
      <w:pPr>
        <w:pStyle w:val="HorizontalLine"/>
        <w:bidi w:val="0"/>
        <w:spacing w:lineRule="auto" w:line="300"/>
        <w:jc w:val="center"/>
        <w:rPr/>
      </w:pPr>
      <w:r>
        <w:rPr/>
      </w:r>
      <w:bookmarkStart w:id="0" w:name="exhibit_99-1.htm"/>
      <w:bookmarkStart w:id="1" w:name="ksexhibit_991"/>
      <w:bookmarkStart w:id="2" w:name="exhibit_99-1.htm"/>
      <w:bookmarkStart w:id="3" w:name="ksexhibit_991"/>
      <w:bookmarkEnd w:id="2"/>
      <w:bookmarkEnd w:id="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center"/>
        <w:rPr/>
      </w:pPr>
      <w:r>
        <w:rPr/>
      </w:r>
    </w:p>
    <w:p>
      <w:pPr>
        <w:pStyle w:val="TextBody"/>
        <w:bidi w:val="0"/>
        <w:spacing w:lineRule="auto" w:line="300"/>
        <w:jc w:val="center"/>
        <w:rPr>
          <w:color w:val="000000"/>
        </w:rPr>
      </w:pPr>
      <w:r>
        <w:rPr>
          <w:color w:val="000000"/>
        </w:rPr>
        <w:drawing>
          <wp:inline distT="0" distB="0" distL="0" distR="0">
            <wp:extent cx="23812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704850"/>
                    </a:xfrm>
                    <a:prstGeom prst="rect">
                      <a:avLst/>
                    </a:prstGeom>
                  </pic:spPr>
                </pic:pic>
              </a:graphicData>
            </a:graphic>
          </wp:inline>
        </w:drawing>
      </w:r>
    </w:p>
    <w:p>
      <w:pPr>
        <w:pStyle w:val="TextBody"/>
        <w:bidi w:val="0"/>
        <w:spacing w:lineRule="auto" w:line="300" w:before="0" w:after="0"/>
        <w:ind w:left="180" w:right="90" w:hanging="0"/>
        <w:jc w:val="center"/>
        <w:rPr>
          <w:rFonts w:ascii="Times New Roman;Times;serif" w:hAnsi="Times New Roman;Times;serif"/>
          <w:color w:val="000000"/>
          <w:sz w:val="24"/>
        </w:rPr>
      </w:pPr>
      <w:r>
        <w:rPr>
          <w:rFonts w:ascii="Times New Roman;Times;serif" w:hAnsi="Times New Roman;Times;serif"/>
          <w:color w:val="000000"/>
          <w:sz w:val="24"/>
        </w:rPr>
        <w:t xml:space="preserve">Lifeward Reports Strong Second Quarter 2026 Financial Results as </w:t>
      </w:r>
    </w:p>
    <w:p>
      <w:pPr>
        <w:pStyle w:val="TextBody"/>
        <w:bidi w:val="0"/>
        <w:spacing w:lineRule="auto" w:line="300" w:before="0" w:after="0"/>
        <w:ind w:left="180" w:right="90" w:hanging="0"/>
        <w:jc w:val="center"/>
        <w:rPr>
          <w:rFonts w:ascii="Times New Roman;Times;serif" w:hAnsi="Times New Roman;Times;serif"/>
          <w:color w:val="000000"/>
          <w:sz w:val="24"/>
        </w:rPr>
      </w:pPr>
      <w:r>
        <w:rPr>
          <w:rFonts w:ascii="Times New Roman;Times;serif" w:hAnsi="Times New Roman;Times;serif"/>
          <w:color w:val="000000"/>
          <w:sz w:val="24"/>
        </w:rPr>
        <w:t>Commercial Execution Drives Growth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Revenue increase and operating performance improve as capital-efficient distribution strategy gains</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momentum</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Strengthened balance sheet and expanding rehabilitation platform support continued commercial</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execution</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HUDSON, MA, and YOKNEAM ILLIT, Israel, August 14, 2026 – </w:t>
      </w:r>
      <w:r>
        <w:rPr>
          <w:rFonts w:ascii="Times New Roman;Times;serif" w:hAnsi="Times New Roman;Times;serif"/>
          <w:color w:val="000000"/>
          <w:sz w:val="20"/>
          <w:u w:val="single"/>
        </w:rPr>
        <w:t>Lifeward Ltd</w:t>
      </w:r>
      <w:r>
        <w:rPr>
          <w:rFonts w:ascii="Times New Roman;Times;serif" w:hAnsi="Times New Roman;Times;serif"/>
          <w:color w:val="000000"/>
          <w:sz w:val="20"/>
        </w:rPr>
        <w:t>. (Nasdaq: LFWD) (“Lifeward” or the “Company”), a diversified biomedical innovation company with a portfolio of commercialized neurorehabilitation products and a biomedical pipeline, today reported financial results for the second quarter ended June 30,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Corporate &amp; Financial Highlights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85cb2d597a3e49029a2cb2fe7ebc6006"/>
      <w:bookmarkStart w:id="5" w:name="z85cb2d597a3e49029a2cb2fe7ebc6006"/>
      <w:bookmarkEnd w:id="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rPr>
              <w:t>Revenue increased 16% to $6.6 million</w:t>
            </w:r>
            <w:r>
              <w:rPr/>
              <w:t xml:space="preserve"> in the second quarter of 2026 compared to the second quarter of 2025, marking the strongest quarterly revenue performance since the fourth quarter of 2024. The increase reflects continued execution of Lifeward's commercial strategy and growing adoption across the Company's rehabilitation portfolio.</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aede44f32dba4477a0cbc9c67487a27a"/>
      <w:bookmarkStart w:id="7" w:name="zaede44f32dba4477a0cbc9c67487a27a"/>
      <w:bookmarkEnd w:id="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rPr>
              <w:t>Strengthened the Company's balance sheet</w:t>
            </w:r>
            <w:r>
              <w:rPr/>
              <w:t> </w:t>
            </w:r>
            <w:r>
              <w:rPr>
                <w:b/>
              </w:rPr>
              <w:t>to a proforma cash balance of approximately $11 million</w:t>
            </w:r>
            <w:r>
              <w:rPr/>
              <w:t>. The Company had a cash balance of $9.4 million as of June 30, 2026. Through a strategic financing closed on July 6, 2026, providing up to $11.2 million in growth capital, Lifeward raised approximately $5.6 million, $4.1 million of which was received during the second quarter, and $1.5 million was received in July. An additional approximately $5.6 million is available upon achieving either a 150% increase in ReWalk sales or the Company's common stock trading at $13.80 or higher for ten consecutive trading days.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b2b19048b67744999c669ea664f9ea01"/>
      <w:bookmarkStart w:id="9" w:name="zb2b19048b67744999c669ea664f9ea01"/>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rPr>
              <w:t>Continued successful execution of Lifeward's capital-efficient distribution strategy</w:t>
            </w:r>
            <w:r>
              <w:rPr/>
              <w:t>, expanding patient access through established rehabilitation and durable medical equipment distribution partners while building scalable commercial infrastructure designed to support portfolio growth. In August 2026, Lifeward launched a pilot program with Ottobock Care, a leading U.S. mobility technology patient care organization with more than 50 patient clinics nationwide, broadening access to ReWalk Personal Exoskeleton across the country.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 w:name="z2dbc224507de458e9c88293182de935a"/>
      <w:bookmarkStart w:id="11" w:name="z2dbc224507de458e9c88293182de935a"/>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rPr>
              <w:t>Further strengthened Lifeward's restorative healthcare platform</w:t>
            </w:r>
            <w:r>
              <w:rPr/>
              <w:t>, with ongoing investigational device development, combining market-leading rehabilitation technologies with an established reimbursement infrastructure.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2" w:name="z2969a555847940cc9e748e95ed6100bb"/>
      <w:bookmarkStart w:id="13" w:name="z2969a555847940cc9e748e95ed6100bb"/>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rPr>
              <w:t>Advanced the ORMD-0801 oral insulin clinical program</w:t>
            </w:r>
            <w:r>
              <w:rPr/>
              <w:t>, with preparations ongoing for the planned Phase 2 U.S. clinical trial. Clinical development activities continue to be managed by Oramed under the strategic collaboration utilizing funds from the Oratech acquisition.</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 w:name="zbbc7b78ed57640b9b5a4ba68b3f5c07f"/>
      <w:bookmarkStart w:id="15" w:name="zbbc7b78ed57640b9b5a4ba68b3f5c07f"/>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rPr>
              <w:t>Board composition.</w:t>
            </w:r>
            <w:r>
              <w:rPr/>
              <w:t xml:space="preserve"> Effective August 13, 2026, the Company’s Chairman of the Board Bob Marshall and Directors Mike Swinford and William Sigsbee have decided to step down from the board. The Company extends its gratitude to each of Messrs. Marshall, Swinford and Sigsbee for their service and lasting contributions to the Company.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c4591255e3d64e3fac629ecdc3c7b6e9"/>
      <w:bookmarkStart w:id="17" w:name="zc4591255e3d64e3fac629ecdc3c7b6e9"/>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rPr>
              <w:t>Executive transition.</w:t>
            </w:r>
            <w:r>
              <w:rPr/>
              <w:t xml:space="preserve"> The Company’s Chief Financial Officer, Almog Adar, has decided to depart the Company effective September 30, 2026, and will assist with a transition period to his successor. The Company extends its gratitude to Mr. Adar for his service and lasting contributions to the Company.</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second quarter marks another important milestone in Lifeward's transformation into a scaled restorative healthcare company, with revenue growth demonstrating that the strategy we have implemented is working,” said Mark Grant, President and Chief Executive Officer of Lifeward. “Backed by a strong sales pipeline, we expect this revenue momentum to continue in the second half of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"Over the past year, we have strengthened Lifeward’s restorative healthcare platform, which includes multiple commercial products, a strong reimbursement infrastructure, a scalable capital-efficient distribution model and an exciting pipeline of potential future rehabilitation technologies. These capabilities create a powerful foundation that we believe will support sustainable long-term growth and expand access to life-changing technologies for patients around the world."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part of the governance changes announced today, I am proud of what our team has accomplished together with the support and guidance of our board. We have established the strategy, strengthened the balance sheet, built the commercial infrastructure and positioned the Company to capitalize on significant opportunities ahead."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Second Quarter 2026 Financial Results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Revenue increased 16% to $6.6 million in the second quarter of 2026, compared to $5.7 million in the second quarter of 2025. The $0.9 million increase was driven by a 13% increase in ReWalk Personal exoskeletons sales to $2.5 million in the second quarter of 2026 compared to the same period in 2025, primarily reflecting stronger sales in Europe, and AlterG products and services which increased 25% to $4.1 million from the same period in 2025, primarily reflecting higher U.S. unit shipments, service revenue and average selling prices. MyoCycle FES bike sales were $0.1 million, unchanged from the second quarter of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Gross margin was 41% during the second quarter of 2026, compared to 44% in the second quarter of 2025. The year-over-year decrease was primarily due to higher tariffs, fluctuations in foreign exchange rates, and a 4%  revenue sharing expense associated with the Oramed transaction.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Total operating expenses in the second quarter of 2026 declined 24% to $6.9 million, compared to $9.1 million in the second quarter of 2025, primarily due to $2.8 million of one-time impairment charges recorded in the prior-year period. Excluding these charges, the year-over-year increase primarily reflected higher research and development expenses, including $0.7 million in Oratech clinical trial costs, partially offset by lower sales and marketing and general and administrative expenses. On a non-GAAP basis, which excludes the items listed in the attached non-GAAP reconciliation table, adjusted operating expenses increased by 8% to $6.5 million in the second quarter of 2026, compared to $6.0 million in the second quarter of 2025, with the year-over-year change primarily attributable to $0.7 million in Oratech clinical trial costs.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Operating loss declined by 37% in the second quarter of 2026 to $4.2 million, compared to $6.6 million in the second quarter of 2025, primarily due to $2.8 million of impairment charges recorded in the second quarter of 2025 and lower sales and marketing and general and administrative expenses, partially offset by $0.7 million in Oratech clinical trial costs in the second quarter of 2026. On a non-GAAP basis, which excludes the items in the attached non-GAAP reconciliation table, adjusted operating loss was $3.8 million in the second quarter of 2026, compared to $3.5 million in the second quarter of 2025, with the year-over-year change primarily attributable to $0.7 million in Oratech clinical trial costs, partially offset by continued operating efficiencies, particularly in sales and marketing and general and administrative expenses.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Net loss was $11.5 million, or $4.12 per share, in the second quarter of 2026, compared to $6.6 million, or $7.01 per share, in the second quarter of 2025. Net loss increased by $4.9 million primarily due to non-cash fair value charges in warrant and derivative liabilities, compared to the three months ended June 30, 2025. On a non-GAAP basis, which excludes the items in the attached non-GAAP reconciliation table, adjusted net loss was $4.1 million in the second quarter of 2026, compared to $3.5 million in the second quarter of 2025, with the year-over-year change primarily attributable to $0.7 million in Oratech clinical trial costs.</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Liquidity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of June 30, 2026, Lifeward had $9.4 million in unrestricted cash and cash equivalents, compared to $2.2 million as of December 31, 2025. The proforma cash balance is approximately $11 million, inclusive of $1.5 million in proceeds from the July 6, 2026 capital raise of $5.6 million, $4.1 million of which was received prior to June 30,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Lifeward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Lifeward is a global innovator focused on advancing medical technologies and biomedical solutions that improve lives. The Company’s established portfolio includes market-leading neurorehabilitation technologies such as the ReWalk® Exoskeleton, AlterG® Anti-Gravity system, MyoCycle® FES System, and ReStore® Exo-Suit. These solutions span the continuum of care in physical rehabilitation and recovery, deploying the most advanced robotics and AI technologies to restore full health and quality of life to a broadening patient population. The Company is now executing a strategic evolution into a diversified biomedical company, expanding beyond rehabilitation and into high-value therapeutic platforms. This includes its Protein Oral Delivery (POD™) platform, designed to enable oral delivery of biologic drugs, with lead candidate ORMD-0801 (oral insulin) targeting a large and underserved diabetes market.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Lifeward has operations in the United States, Israel, and Germany. For more information on the Lifeward mission and product portfolio, please visit </w:t>
      </w:r>
      <w:r>
        <w:rPr>
          <w:rFonts w:ascii="Times New Roman;Times;serif" w:hAnsi="Times New Roman;Times;serif"/>
          <w:color w:val="000000"/>
          <w:sz w:val="20"/>
          <w:u w:val="single"/>
        </w:rPr>
        <w:t>GoLifeward.com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Lifeward®, ReWalk®, ReStore® and Alter G® are registered trademarks of Lifeward Ltd. and/or its affiliates.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addition to historical information, this press release contains forward-looking statements within the meaning of the U.S. Private Securities Litigation Reform Act of 1995, Section 27A of the U.S. Securities Act of 1933, and Section 21E of the U.S. Securities Exchange Act of 1934. Such forward-looking statements may include projections regarding the Company's future performance and other statements that are not statements of historical fact and, in some cases, may be identified by words like "anticipate," "assume," "believe," "continue," "could," "estimate," "expect," "intend," "may," "plan," "potential," "predict," "project," "future," "will," "should," "would," "seek" and similar terms or phrases. The forward-looking statements contained in this press release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include, among others: management’s expectations, hopes, beliefs, intentions or strategies regarding the future including, without limitation, statements regarding: the future operations of Lifeward, including research and development activities; the nature, strategy and focus of Lifeward; Lifeward’s ability to successfully integrate Oratech Pharmaceuticals Ltd. into its organization and realize the anticipated benefits therefrom; anticipated clinical drug development activities and related timelines, and other clinical results; the sufficiency of post-transaction resources to support the advancement of Lifeward’s pipeline through certain milestones and the time period over which Lifeward’s post-transaction capital resources will be sufficient to fund its anticipated operations; unexpected costs, charges or expenses resulting from the strategic transaction; expected timing and results of the ORMD-0801 clinical trial; legislative, regulatory, political and economic developments; the acceptance of the ReWalk 7 Personal Exoskeleton by healthcare professionals and patients; uncertainties associated with future clinical trials and the clinical development process, the product development process and FDA regulatory submission review and approval process; the Company's ability to have sufficient funds to meet certain future capital requirements, which could impair the Company's efforts to develop and commercialize existing and new products; the Company's ability to maintain and grow its reputation and the market acceptance of its products; the Company's ability to achieve reimbursement from third-party payors, including CMS, for its products; the Company's limited operating history and its ability to leverage its sales, marketing and training infrastructure; the Company's expectations as to its clinical research program and clinical results; the Company's expectations regarding future growth, including its ability to increase sales in its existing geographic markets and expand to new markets; the Company’s ability to continue to operate as a going concern; the Company's ability to obtain certain components of its products from third-party suppliers and its continued access to its product manufacturers; the Company’s ability to navigate any difficulties associated with moving production of its AlterG Anti-Gravity Systems to a contract manufacturer and transitioning the manufacturing of its ReWalk products to its in-house manufacturer; the Company's ability to improve its products and develop new products; the Company's compliance with medical device reporting regulations to report adverse events involving the Company's products, which could result in voluntary corrective actions or enforcement actions such as mandatory recalls, and the potential impact of such adverse events on the Company's ability to market and sell its products; the Company's ability to gain and maintain regulatory approvals; the Company's ability to maintain adequate protection of its intellectual property and to avoid violation of the intellectual property rights of others; the risk of a cybersecurity attack or breach of the Company's IT systems significantly disrupting its business operations; the ability of a refreshed Board of Directors to effectively oversee and manage the Company and execute its strategy; the Company's ability to use effectively the proceeds of its offerings of securities; and other factors discussed under the heading "Risk Factors" in the Company’s annual report on Form 10-K, as amended, for the year ended December 31, 2025 filed with the SEC and other documents subsequently filed with or furnished to the SEC. Any forward-looking statement made in this press release speaks only as of the date hereof. Factors or events that could cause the Company’s actual results to differ from the statements contained herein may emerge from time to time, and it is not possible for the Company to predict all of them. Except as required by law, the Company undertakes no obligation to publicly update any forward-looking statements, whether as a result of new information, future developments or otherwise.</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Contact:</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Almog Adar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Lifeward</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media@golifeward.com</w:t>
      </w:r>
      <w:r>
        <w:rPr>
          <w:rFonts w:ascii="Times New Roman;Times;serif" w:hAnsi="Times New Roman;Times;serif"/>
          <w:color w:val="000000"/>
          <w:sz w:val="20"/>
        </w:rPr>
        <w:br/>
        <w:t>E: </w:t>
      </w:r>
      <w:r>
        <w:rPr>
          <w:rFonts w:ascii="Times New Roman;Times;serif" w:hAnsi="Times New Roman;Times;serif"/>
          <w:color w:val="000000"/>
          <w:sz w:val="20"/>
          <w:u w:val="single"/>
        </w:rPr>
        <w:t>ir@golifeward.com</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310ea3f2427f4b0fa7b5aef142ca6447"/>
      <w:bookmarkStart w:id="19" w:name="z310ea3f2427f4b0fa7b5aef142ca6447"/>
      <w:bookmarkEnd w:id="19"/>
    </w:p>
    <w:tbl>
      <w:tblPr>
        <w:tblW w:w="5195" w:type="dxa"/>
        <w:jc w:val="left"/>
        <w:tblInd w:w="0" w:type="dxa"/>
        <w:tblLayout w:type="fixed"/>
        <w:tblCellMar>
          <w:top w:w="0" w:type="dxa"/>
          <w:left w:w="0" w:type="dxa"/>
          <w:bottom w:w="0" w:type="dxa"/>
          <w:right w:w="0" w:type="dxa"/>
        </w:tblCellMar>
      </w:tblPr>
      <w:tblGrid>
        <w:gridCol w:w="5195"/>
      </w:tblGrid>
      <w:tr>
        <w:trPr/>
        <w:tc>
          <w:tcPr>
            <w:tcW w:w="5195" w:type="dxa"/>
            <w:tcBorders/>
            <w:vAlign w:val="center"/>
          </w:tcPr>
          <w:p>
            <w:pPr>
              <w:pStyle w:val="TableContents"/>
              <w:bidi w:val="0"/>
              <w:spacing w:lineRule="auto" w:line="300" w:before="0" w:after="0"/>
              <w:jc w:val="center"/>
              <w:rPr>
                <w:b/>
              </w:rPr>
            </w:pPr>
            <w:r>
              <w:rPr>
                <w:b/>
              </w:rPr>
              <w:t>Lifeward Ltd. And subsidiaries</w:t>
            </w:r>
          </w:p>
        </w:tc>
      </w:tr>
      <w:tr>
        <w:trPr/>
        <w:tc>
          <w:tcPr>
            <w:tcW w:w="5195" w:type="dxa"/>
            <w:tcBorders/>
            <w:vAlign w:val="center"/>
          </w:tcPr>
          <w:p>
            <w:pPr>
              <w:pStyle w:val="TableContents"/>
              <w:bidi w:val="0"/>
              <w:spacing w:lineRule="auto" w:line="300" w:before="0" w:after="0"/>
              <w:jc w:val="center"/>
              <w:rPr>
                <w:b/>
              </w:rPr>
            </w:pPr>
            <w:r>
              <w:rPr>
                <w:b/>
              </w:rPr>
              <w:t>Condensed Consolidated Statements of Operations</w:t>
            </w:r>
          </w:p>
        </w:tc>
      </w:tr>
      <w:tr>
        <w:trPr/>
        <w:tc>
          <w:tcPr>
            <w:tcW w:w="5195" w:type="dxa"/>
            <w:tcBorders/>
            <w:vAlign w:val="center"/>
          </w:tcPr>
          <w:p>
            <w:pPr>
              <w:pStyle w:val="TableContents"/>
              <w:bidi w:val="0"/>
              <w:spacing w:lineRule="auto" w:line="300" w:before="0" w:after="0"/>
              <w:jc w:val="center"/>
              <w:rPr>
                <w:b/>
              </w:rPr>
            </w:pPr>
            <w:r>
              <w:rPr>
                <w:b/>
              </w:rPr>
              <w:t>(Unaudited)</w:t>
            </w:r>
          </w:p>
        </w:tc>
      </w:tr>
      <w:tr>
        <w:trPr/>
        <w:tc>
          <w:tcPr>
            <w:tcW w:w="5195" w:type="dxa"/>
            <w:tcBorders/>
            <w:vAlign w:val="center"/>
          </w:tcPr>
          <w:p>
            <w:pPr>
              <w:pStyle w:val="TableContents"/>
              <w:bidi w:val="0"/>
              <w:spacing w:lineRule="auto" w:line="300" w:before="0" w:after="0"/>
              <w:jc w:val="center"/>
              <w:rPr>
                <w:b/>
              </w:rPr>
            </w:pPr>
            <w:r>
              <w:rPr>
                <w:b/>
              </w:rPr>
              <w:t>(In thousands, except share and per share data)</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0" w:name="z30a055a354fa43dc813e075d3fa87d47"/>
      <w:bookmarkStart w:id="21" w:name="z30a055a354fa43dc813e075d3fa87d47"/>
      <w:bookmarkEnd w:id="21"/>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vAlign w:val="bottom"/>
          </w:tcPr>
          <w:p>
            <w:pPr>
              <w:pStyle w:val="TableContents"/>
              <w:bidi w:val="0"/>
              <w:spacing w:lineRule="auto" w:line="300" w:before="0" w:after="0"/>
              <w:jc w:val="center"/>
              <w:rPr>
                <w:b/>
              </w:rPr>
            </w:pPr>
            <w:r>
              <w:rPr>
                <w:b/>
              </w:rPr>
              <w:t>Six Months Ended</w:t>
            </w:r>
          </w:p>
        </w:tc>
        <w:tc>
          <w:tcPr>
            <w:tcW w:w="110"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lineRule="auto" w:line="300" w:before="0" w:after="0"/>
              <w:jc w:val="left"/>
              <w:rPr/>
            </w:pPr>
            <w:r>
              <w:rPr/>
              <w:t>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980" w:type="dxa"/>
            <w:tcBorders/>
            <w:shd w:fill="CCEEFF" w:val="clear"/>
            <w:vAlign w:val="bottom"/>
          </w:tcPr>
          <w:p>
            <w:pPr>
              <w:pStyle w:val="TableContents"/>
              <w:bidi w:val="0"/>
              <w:spacing w:lineRule="auto" w:line="300" w:before="0" w:after="0"/>
              <w:jc w:val="right"/>
              <w:rPr/>
            </w:pPr>
            <w:r>
              <w:rPr/>
              <w:t>6,623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5,724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980" w:type="dxa"/>
            <w:tcBorders/>
            <w:shd w:fill="CCEEFF" w:val="clear"/>
            <w:vAlign w:val="bottom"/>
          </w:tcPr>
          <w:p>
            <w:pPr>
              <w:pStyle w:val="TableContents"/>
              <w:bidi w:val="0"/>
              <w:spacing w:lineRule="auto" w:line="300" w:before="0" w:after="0"/>
              <w:jc w:val="right"/>
              <w:rPr/>
            </w:pPr>
            <w:r>
              <w:rPr/>
              <w:t>10,546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10,758</w:t>
            </w:r>
          </w:p>
        </w:tc>
        <w:tc>
          <w:tcPr>
            <w:tcW w:w="110"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Cost of revenues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3,914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3,213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6,495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6,125</w:t>
            </w:r>
          </w:p>
        </w:tc>
        <w:tc>
          <w:tcPr>
            <w:tcW w:w="110"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lineRule="auto" w:line="300" w:before="0" w:after="0"/>
              <w:jc w:val="left"/>
              <w:rPr/>
            </w:pPr>
            <w:r>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2,709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2,511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4,051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4,633</w:t>
            </w:r>
          </w:p>
        </w:tc>
        <w:tc>
          <w:tcPr>
            <w:tcW w:w="110"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lineRule="auto" w:line="300" w:before="0" w:after="0"/>
              <w:ind w:left="0" w:right="0" w:firstLine="440"/>
              <w:jc w:val="left"/>
              <w:rPr/>
            </w:pPr>
            <w:r>
              <w:rPr/>
              <w:t>Research and development,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1,754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7,599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1,685</w:t>
            </w:r>
          </w:p>
        </w:tc>
        <w:tc>
          <w:tcPr>
            <w:tcW w:w="110"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ind w:left="0" w:right="0" w:firstLine="440"/>
              <w:jc w:val="left"/>
              <w:rPr/>
            </w:pPr>
            <w:r>
              <w:rPr/>
              <w:t>Sales and marketing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3,531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3,785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6,802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7,622</w:t>
            </w:r>
          </w:p>
        </w:tc>
        <w:tc>
          <w:tcPr>
            <w:tcW w:w="110"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lineRule="auto" w:line="300" w:before="0" w:after="0"/>
              <w:ind w:left="0" w:right="0" w:firstLine="440"/>
              <w:jc w:val="left"/>
              <w:rPr/>
            </w:pPr>
            <w:r>
              <w:rPr/>
              <w:t>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1,576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1,739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4,141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3,959</w:t>
            </w:r>
          </w:p>
        </w:tc>
        <w:tc>
          <w:tcPr>
            <w:tcW w:w="110"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ind w:left="0" w:right="0" w:firstLine="440"/>
              <w:jc w:val="left"/>
              <w:rPr/>
            </w:pPr>
            <w:r>
              <w:rPr/>
              <w:t>Impairment charges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2,783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2,783</w:t>
            </w:r>
          </w:p>
        </w:tc>
        <w:tc>
          <w:tcPr>
            <w:tcW w:w="110"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lineRule="auto" w:line="300" w:before="0" w:after="0"/>
              <w:jc w:val="left"/>
              <w:rPr/>
            </w:pPr>
            <w:r>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6,861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9,074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18,542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16,049</w:t>
            </w:r>
          </w:p>
        </w:tc>
        <w:tc>
          <w:tcPr>
            <w:tcW w:w="110"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Operating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(4,152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(6,563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(14,491</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(11,416</w:t>
            </w:r>
          </w:p>
        </w:tc>
        <w:tc>
          <w:tcPr>
            <w:tcW w:w="110" w:type="dxa"/>
            <w:tcBorders/>
            <w:vAlign w:val="bottom"/>
          </w:tcPr>
          <w:p>
            <w:pPr>
              <w:pStyle w:val="TableContents"/>
              <w:bidi w:val="0"/>
              <w:spacing w:lineRule="auto" w:line="300" w:before="0" w:after="0"/>
              <w:jc w:val="left"/>
              <w:rPr/>
            </w:pPr>
            <w:r>
              <w:rPr/>
              <w:t>)</w:t>
            </w:r>
          </w:p>
        </w:tc>
      </w:tr>
      <w:tr>
        <w:trPr/>
        <w:tc>
          <w:tcPr>
            <w:tcW w:w="5450" w:type="dxa"/>
            <w:tcBorders/>
            <w:shd w:fill="CCEEFF" w:val="clear"/>
            <w:vAlign w:val="bottom"/>
          </w:tcPr>
          <w:p>
            <w:pPr>
              <w:pStyle w:val="TableContents"/>
              <w:bidi w:val="0"/>
              <w:spacing w:lineRule="auto" w:line="300" w:before="0" w:after="0"/>
              <w:jc w:val="left"/>
              <w:rPr/>
            </w:pPr>
            <w:r>
              <w:rPr/>
              <w:t>Financial expense (income),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7,357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7,805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(31</w:t>
            </w:r>
          </w:p>
        </w:tc>
        <w:tc>
          <w:tcPr>
            <w:tcW w:w="110" w:type="dxa"/>
            <w:tcBorders/>
            <w:shd w:fill="CCEEFF" w:val="clear"/>
            <w:vAlign w:val="bottom"/>
          </w:tcPr>
          <w:p>
            <w:pPr>
              <w:pStyle w:val="TableContents"/>
              <w:bidi w:val="0"/>
              <w:spacing w:lineRule="auto" w:line="300" w:before="0" w:after="0"/>
              <w:jc w:val="left"/>
              <w:rPr/>
            </w:pPr>
            <w:r>
              <w:rPr/>
              <w:t>)</w:t>
            </w:r>
          </w:p>
        </w:tc>
      </w:tr>
      <w:tr>
        <w:trPr/>
        <w:tc>
          <w:tcPr>
            <w:tcW w:w="5450" w:type="dxa"/>
            <w:tcBorders/>
            <w:vAlign w:val="bottom"/>
          </w:tcPr>
          <w:p>
            <w:pPr>
              <w:pStyle w:val="TableContents"/>
              <w:bidi w:val="0"/>
              <w:spacing w:lineRule="auto" w:line="300" w:before="0" w:after="0"/>
              <w:jc w:val="left"/>
              <w:rPr/>
            </w:pPr>
            <w:r>
              <w:rPr/>
              <w:t>Loss before income taxes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(11,509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(6,562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(22,296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(11,385</w:t>
            </w:r>
          </w:p>
        </w:tc>
        <w:tc>
          <w:tcPr>
            <w:tcW w:w="110" w:type="dxa"/>
            <w:tcBorders/>
            <w:vAlign w:val="bottom"/>
          </w:tcPr>
          <w:p>
            <w:pPr>
              <w:pStyle w:val="TableContents"/>
              <w:bidi w:val="0"/>
              <w:spacing w:lineRule="auto" w:line="300" w:before="0" w:after="0"/>
              <w:jc w:val="left"/>
              <w:rPr/>
            </w:pPr>
            <w:r>
              <w:rPr/>
              <w:t>)</w:t>
            </w:r>
          </w:p>
        </w:tc>
      </w:tr>
      <w:tr>
        <w:trPr/>
        <w:tc>
          <w:tcPr>
            <w:tcW w:w="5450" w:type="dxa"/>
            <w:tcBorders/>
            <w:shd w:fill="CCEEFF" w:val="clear"/>
            <w:vAlign w:val="bottom"/>
          </w:tcPr>
          <w:p>
            <w:pPr>
              <w:pStyle w:val="TableContents"/>
              <w:bidi w:val="0"/>
              <w:spacing w:lineRule="auto" w:line="300" w:before="0" w:after="0"/>
              <w:jc w:val="left"/>
              <w:rPr/>
            </w:pPr>
            <w:r>
              <w:rPr/>
              <w:t>Taxes on income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11</w:t>
            </w:r>
          </w:p>
        </w:tc>
        <w:tc>
          <w:tcPr>
            <w:tcW w:w="110"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Net loss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(11,519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(6,562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(22,312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(11,396</w:t>
            </w:r>
          </w:p>
        </w:tc>
        <w:tc>
          <w:tcPr>
            <w:tcW w:w="110" w:type="dxa"/>
            <w:tcBorders/>
            <w:vAlign w:val="bottom"/>
          </w:tcPr>
          <w:p>
            <w:pPr>
              <w:pStyle w:val="TableContents"/>
              <w:bidi w:val="0"/>
              <w:spacing w:lineRule="auto" w:line="300" w:before="0" w:after="0"/>
              <w:jc w:val="left"/>
              <w:rPr/>
            </w:pPr>
            <w:r>
              <w:rPr/>
              <w:t>)</w:t>
            </w:r>
          </w:p>
        </w:tc>
      </w:tr>
      <w:tr>
        <w:trPr/>
        <w:tc>
          <w:tcPr>
            <w:tcW w:w="5450" w:type="dxa"/>
            <w:tcBorders/>
            <w:shd w:fill="CCEEFF" w:val="clear"/>
            <w:vAlign w:val="bottom"/>
          </w:tcPr>
          <w:p>
            <w:pPr>
              <w:pStyle w:val="TableContents"/>
              <w:bidi w:val="0"/>
              <w:spacing w:lineRule="auto" w:line="300" w:before="0" w:after="0"/>
              <w:jc w:val="left"/>
              <w:rPr/>
            </w:pPr>
            <w:r>
              <w:rPr/>
              <w:t>Basic net loss per ordinary share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(4.12</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(7.01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(10.09</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12.59</w:t>
            </w:r>
          </w:p>
        </w:tc>
        <w:tc>
          <w:tcPr>
            <w:tcW w:w="110"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lineRule="auto" w:line="300" w:before="0" w:after="0"/>
              <w:jc w:val="left"/>
              <w:rPr/>
            </w:pPr>
            <w:r>
              <w:rPr/>
              <w:t>Weighted average number of shares used in computing net loss per ordinary share basic and diluted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2,796,621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935,785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pPr>
            <w:r>
              <w:rPr/>
              <w:t>2,210,280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904,881</w:t>
            </w:r>
          </w:p>
        </w:tc>
        <w:tc>
          <w:tcPr>
            <w:tcW w:w="11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All share and per share amounts presented in this note have been retroactively adjusted to reflect the Company’s 1-for-12 reverse share split effected on February 24, 2026.</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tbl>
      <w:tblPr>
        <w:tblW w:w="4160" w:type="dxa"/>
        <w:jc w:val="left"/>
        <w:tblInd w:w="0" w:type="dxa"/>
        <w:tblLayout w:type="fixed"/>
        <w:tblCellMar>
          <w:top w:w="0" w:type="dxa"/>
          <w:left w:w="0" w:type="dxa"/>
          <w:bottom w:w="0" w:type="dxa"/>
          <w:right w:w="0" w:type="dxa"/>
        </w:tblCellMar>
      </w:tblPr>
      <w:tblGrid>
        <w:gridCol w:w="4160"/>
      </w:tblGrid>
      <w:tr>
        <w:trPr/>
        <w:tc>
          <w:tcPr>
            <w:tcW w:w="4160" w:type="dxa"/>
            <w:tcBorders/>
            <w:vAlign w:val="center"/>
          </w:tcPr>
          <w:p>
            <w:pPr>
              <w:pStyle w:val="TableContents"/>
              <w:bidi w:val="0"/>
              <w:spacing w:lineRule="auto" w:line="300" w:before="0" w:after="0"/>
              <w:jc w:val="center"/>
              <w:rPr>
                <w:b/>
              </w:rPr>
            </w:pPr>
            <w:r>
              <w:rPr>
                <w:b/>
              </w:rPr>
              <w:t>Lifeward Ltd. And subsidiaries</w:t>
            </w:r>
          </w:p>
        </w:tc>
      </w:tr>
      <w:tr>
        <w:trPr/>
        <w:tc>
          <w:tcPr>
            <w:tcW w:w="4160" w:type="dxa"/>
            <w:tcBorders/>
            <w:vAlign w:val="center"/>
          </w:tcPr>
          <w:p>
            <w:pPr>
              <w:pStyle w:val="TableContents"/>
              <w:bidi w:val="0"/>
              <w:spacing w:lineRule="auto" w:line="300" w:before="0" w:after="0"/>
              <w:jc w:val="center"/>
              <w:rPr>
                <w:b/>
              </w:rPr>
            </w:pPr>
            <w:r>
              <w:rPr>
                <w:b/>
              </w:rPr>
              <w:t>Condensed Consolidated Balance Sheets</w:t>
            </w:r>
          </w:p>
        </w:tc>
      </w:tr>
      <w:tr>
        <w:trPr/>
        <w:tc>
          <w:tcPr>
            <w:tcW w:w="4160" w:type="dxa"/>
            <w:tcBorders/>
            <w:vAlign w:val="center"/>
          </w:tcPr>
          <w:p>
            <w:pPr>
              <w:pStyle w:val="TableContents"/>
              <w:bidi w:val="0"/>
              <w:spacing w:lineRule="auto" w:line="300" w:before="0" w:after="0"/>
              <w:jc w:val="center"/>
              <w:rPr>
                <w:b/>
              </w:rPr>
            </w:pPr>
            <w:r>
              <w:rPr>
                <w:b/>
              </w:rPr>
              <w:t>(In thousands)</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2" w:name="z47b5813cec274fb6acc95839851c4d47"/>
      <w:bookmarkStart w:id="23" w:name="z47b5813cec274fb6acc95839851c4d47"/>
      <w:bookmarkEnd w:id="23"/>
    </w:p>
    <w:tbl>
      <w:tblPr>
        <w:tblW w:w="9903" w:type="dxa"/>
        <w:jc w:val="left"/>
        <w:tblInd w:w="0" w:type="dxa"/>
        <w:tblLayout w:type="fixed"/>
        <w:tblCellMar>
          <w:top w:w="0" w:type="dxa"/>
          <w:left w:w="0" w:type="dxa"/>
          <w:bottom w:w="0" w:type="dxa"/>
          <w:right w:w="0" w:type="dxa"/>
        </w:tblCellMar>
      </w:tblPr>
      <w:tblGrid>
        <w:gridCol w:w="6985"/>
        <w:gridCol w:w="60"/>
        <w:gridCol w:w="212"/>
        <w:gridCol w:w="1037"/>
        <w:gridCol w:w="60"/>
        <w:gridCol w:w="60"/>
        <w:gridCol w:w="241"/>
        <w:gridCol w:w="1173"/>
        <w:gridCol w:w="75"/>
      </w:tblGrid>
      <w:tr>
        <w:trPr/>
        <w:tc>
          <w:tcPr>
            <w:tcW w:w="698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lineRule="auto" w:line="300" w:before="0" w:after="0"/>
              <w:jc w:val="center"/>
              <w:rPr>
                <w:b/>
              </w:rPr>
            </w:pPr>
            <w:r>
              <w:rPr>
                <w:b/>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lineRule="auto" w:line="300" w:before="0" w:after="0"/>
              <w:jc w:val="center"/>
              <w:rPr>
                <w:b/>
              </w:rPr>
            </w:pPr>
            <w:r>
              <w:rPr>
                <w:b/>
              </w:rPr>
              <w:t>(Audited)</w:t>
            </w:r>
          </w:p>
        </w:tc>
        <w:tc>
          <w:tcPr>
            <w:tcW w:w="75"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lineRule="auto" w:line="300"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lineRule="auto" w:line="300" w:before="0" w:after="0"/>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75"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u w:val="single"/>
              </w:rPr>
            </w:pPr>
            <w:r>
              <w:rPr>
                <w:u w:val="single"/>
              </w:rPr>
              <w:t>Assets</w:t>
            </w:r>
          </w:p>
        </w:tc>
        <w:tc>
          <w:tcPr>
            <w:tcW w:w="60" w:type="dxa"/>
            <w:tcBorders/>
            <w:shd w:fill="CCEEFF" w:val="clear"/>
            <w:vAlign w:val="bottom"/>
          </w:tcPr>
          <w:p>
            <w:pPr>
              <w:pStyle w:val="TableContents"/>
              <w:bidi w:val="0"/>
              <w:spacing w:before="0" w:after="283"/>
              <w:jc w:val="left"/>
              <w:rPr/>
            </w:pPr>
            <w:r>
              <w:rPr/>
              <w:t> </w:t>
            </w:r>
          </w:p>
        </w:tc>
        <w:tc>
          <w:tcPr>
            <w:tcW w:w="124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u w:val="single"/>
              </w:rPr>
            </w:pPr>
            <w:r>
              <w:rPr>
                <w:u w:val="single"/>
              </w:rPr>
              <w:t>Current assets</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ind w:left="0" w:right="0" w:firstLine="440"/>
              <w:jc w:val="left"/>
              <w:rPr/>
            </w:pPr>
            <w:r>
              <w:rPr/>
              <w:t>Cash and cash equivalents</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lineRule="auto" w:line="300" w:before="0" w:after="0"/>
              <w:jc w:val="left"/>
              <w:rPr/>
            </w:pPr>
            <w:r>
              <w:rPr/>
              <w:t>$</w:t>
            </w:r>
          </w:p>
        </w:tc>
        <w:tc>
          <w:tcPr>
            <w:tcW w:w="1037" w:type="dxa"/>
            <w:tcBorders/>
            <w:shd w:fill="CCEEFF" w:val="clear"/>
            <w:vAlign w:val="bottom"/>
          </w:tcPr>
          <w:p>
            <w:pPr>
              <w:pStyle w:val="TableContents"/>
              <w:bidi w:val="0"/>
              <w:spacing w:lineRule="auto" w:line="300" w:before="0" w:after="0"/>
              <w:jc w:val="right"/>
              <w:rPr/>
            </w:pPr>
            <w:r>
              <w:rPr/>
              <w:t>9,448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lineRule="auto" w:line="300" w:before="0" w:after="0"/>
              <w:jc w:val="left"/>
              <w:rPr/>
            </w:pPr>
            <w:r>
              <w:rPr/>
              <w:t>$</w:t>
            </w:r>
          </w:p>
        </w:tc>
        <w:tc>
          <w:tcPr>
            <w:tcW w:w="1173" w:type="dxa"/>
            <w:tcBorders/>
            <w:shd w:fill="CCEEFF" w:val="clear"/>
            <w:vAlign w:val="bottom"/>
          </w:tcPr>
          <w:p>
            <w:pPr>
              <w:pStyle w:val="TableContents"/>
              <w:bidi w:val="0"/>
              <w:spacing w:lineRule="auto" w:line="300" w:before="0" w:after="0"/>
              <w:jc w:val="right"/>
              <w:rPr/>
            </w:pPr>
            <w:r>
              <w:rPr/>
              <w:t>2,169</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ind w:left="0" w:right="0" w:firstLine="440"/>
              <w:jc w:val="left"/>
              <w:rPr/>
            </w:pPr>
            <w:r>
              <w:rPr/>
              <w:t>Restricted Cash</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240</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ind w:left="0" w:right="0" w:firstLine="440"/>
              <w:jc w:val="left"/>
              <w:rPr/>
            </w:pPr>
            <w:r>
              <w:rPr/>
              <w:t>Clinical trial services asset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ind w:left="0" w:right="0" w:firstLine="440"/>
              <w:jc w:val="left"/>
              <w:rPr/>
            </w:pPr>
            <w:r>
              <w:rPr/>
              <w:t>Trade receivables, net of credit losses of $212 and $192, respectively</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7,861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6,138</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ind w:left="0" w:right="0" w:firstLine="440"/>
              <w:jc w:val="left"/>
              <w:rPr/>
            </w:pPr>
            <w:r>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1,979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1,528</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ind w:left="0" w:right="0" w:firstLine="440"/>
              <w:jc w:val="left"/>
              <w:rPr/>
            </w:pPr>
            <w:r>
              <w:rPr/>
              <w:t>Inventories</w:t>
            </w:r>
          </w:p>
        </w:tc>
        <w:tc>
          <w:tcPr>
            <w:tcW w:w="6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7" w:type="dxa"/>
            <w:tcBorders>
              <w:bottom w:val="single" w:sz="12" w:space="0" w:color="000000"/>
            </w:tcBorders>
            <w:tcMar>
              <w:bottom w:w="28" w:type="dxa"/>
            </w:tcMar>
            <w:vAlign w:val="bottom"/>
          </w:tcPr>
          <w:p>
            <w:pPr>
              <w:pStyle w:val="TableContents"/>
              <w:bidi w:val="0"/>
              <w:spacing w:lineRule="auto" w:line="300" w:before="0" w:after="0"/>
              <w:jc w:val="right"/>
              <w:rPr/>
            </w:pPr>
            <w:r>
              <w:rPr/>
              <w:t>6,151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tcMar>
              <w:bottom w:w="28" w:type="dxa"/>
            </w:tcMar>
            <w:vAlign w:val="bottom"/>
          </w:tcPr>
          <w:p>
            <w:pPr>
              <w:pStyle w:val="TableContents"/>
              <w:bidi w:val="0"/>
              <w:spacing w:lineRule="auto" w:line="300" w:before="0" w:after="0"/>
              <w:jc w:val="right"/>
              <w:rPr/>
            </w:pPr>
            <w:r>
              <w:rPr/>
              <w:t>5,732</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Total current assets</w:t>
            </w:r>
          </w:p>
        </w:tc>
        <w:tc>
          <w:tcPr>
            <w:tcW w:w="6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25,947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15,807</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Restricted cash and other long term assets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488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209</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Clinical trial services asset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Operating lease right-of-use assets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2,473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1,544</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Property and equipment, net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585</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Intangible Assets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Goodwill</w:t>
            </w:r>
          </w:p>
        </w:tc>
        <w:tc>
          <w:tcPr>
            <w:tcW w:w="6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4,755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4,755</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Total assets</w:t>
            </w:r>
          </w:p>
        </w:tc>
        <w:tc>
          <w:tcPr>
            <w:tcW w:w="6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037" w:type="dxa"/>
            <w:tcBorders>
              <w:bottom w:val="double" w:sz="8" w:space="0" w:color="000000"/>
            </w:tcBorders>
            <w:tcMar>
              <w:bottom w:w="28" w:type="dxa"/>
            </w:tcMar>
            <w:vAlign w:val="bottom"/>
          </w:tcPr>
          <w:p>
            <w:pPr>
              <w:pStyle w:val="TableContents"/>
              <w:bidi w:val="0"/>
              <w:spacing w:lineRule="auto" w:line="300" w:before="0" w:after="0"/>
              <w:jc w:val="right"/>
              <w:rPr/>
            </w:pPr>
            <w:r>
              <w:rPr/>
              <w:t>35,000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73" w:type="dxa"/>
            <w:tcBorders>
              <w:bottom w:val="double" w:sz="8" w:space="0" w:color="000000"/>
            </w:tcBorders>
            <w:tcMar>
              <w:bottom w:w="28" w:type="dxa"/>
            </w:tcMar>
            <w:vAlign w:val="bottom"/>
          </w:tcPr>
          <w:p>
            <w:pPr>
              <w:pStyle w:val="TableContents"/>
              <w:bidi w:val="0"/>
              <w:spacing w:lineRule="auto" w:line="300" w:before="0" w:after="0"/>
              <w:jc w:val="right"/>
              <w:rPr/>
            </w:pPr>
            <w:r>
              <w:rPr/>
              <w:t>22,900</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u w:val="single"/>
              </w:rPr>
            </w:pPr>
            <w:r>
              <w:rPr>
                <w:u w:val="single"/>
              </w:rPr>
              <w:t>Liabilities and equity</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u w:val="single"/>
              </w:rPr>
            </w:pPr>
            <w:r>
              <w:rPr>
                <w:u w:val="single"/>
              </w:rPr>
              <w:t>Current liabilities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ind w:left="0" w:right="0" w:firstLine="440"/>
              <w:jc w:val="left"/>
              <w:rPr/>
            </w:pPr>
            <w:r>
              <w:rPr/>
              <w:t>Trade payables</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6,135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5,590</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ind w:left="0" w:right="0" w:firstLine="440"/>
              <w:jc w:val="left"/>
              <w:rPr/>
            </w:pPr>
            <w:r>
              <w:rPr/>
              <w:t>Current maturities of operating leases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425</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ind w:left="0" w:right="0" w:firstLine="440"/>
              <w:jc w:val="left"/>
              <w:rPr/>
            </w:pPr>
            <w:r>
              <w:rPr/>
              <w:t>Convertible promissory note</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2,803</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ind w:left="0" w:right="0" w:firstLine="440"/>
              <w:jc w:val="left"/>
              <w:rPr/>
            </w:pPr>
            <w:r>
              <w:rPr/>
              <w:t>Other current liabilities</w:t>
            </w:r>
          </w:p>
        </w:tc>
        <w:tc>
          <w:tcPr>
            <w:tcW w:w="6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7" w:type="dxa"/>
            <w:tcBorders>
              <w:bottom w:val="single" w:sz="12" w:space="0" w:color="000000"/>
            </w:tcBorders>
            <w:tcMar>
              <w:bottom w:w="28" w:type="dxa"/>
            </w:tcMar>
            <w:vAlign w:val="bottom"/>
          </w:tcPr>
          <w:p>
            <w:pPr>
              <w:pStyle w:val="TableContents"/>
              <w:bidi w:val="0"/>
              <w:spacing w:lineRule="auto" w:line="300" w:before="0" w:after="0"/>
              <w:jc w:val="right"/>
              <w:rPr/>
            </w:pPr>
            <w:r>
              <w:rPr/>
              <w:t>4,281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tcMar>
              <w:bottom w:w="28" w:type="dxa"/>
            </w:tcMar>
            <w:vAlign w:val="bottom"/>
          </w:tcPr>
          <w:p>
            <w:pPr>
              <w:pStyle w:val="TableContents"/>
              <w:bidi w:val="0"/>
              <w:spacing w:lineRule="auto" w:line="300" w:before="0" w:after="0"/>
              <w:jc w:val="right"/>
              <w:rPr/>
            </w:pPr>
            <w:r>
              <w:rPr/>
              <w:t>3,221</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Total current liabilities</w:t>
            </w:r>
          </w:p>
        </w:tc>
        <w:tc>
          <w:tcPr>
            <w:tcW w:w="6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11,159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12,039</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Non-current operating leases</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1,813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1,159</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Convertible promissory notes, net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4,432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Financing liabilities</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lineRule="auto" w:line="300" w:before="0" w:after="0"/>
              <w:jc w:val="right"/>
              <w:rPr/>
            </w:pPr>
            <w:r>
              <w:rPr/>
              <w:t>4,083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lineRule="auto" w:line="300"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Other long-term liabilities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lineRule="auto" w:line="300" w:before="0" w:after="0"/>
              <w:jc w:val="right"/>
              <w:rPr/>
            </w:pPr>
            <w:r>
              <w:rPr/>
              <w:t>1,297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lineRule="auto" w:line="300" w:before="0" w:after="0"/>
              <w:jc w:val="right"/>
              <w:rPr/>
            </w:pPr>
            <w:r>
              <w:rPr/>
              <w:t>1,294</w:t>
            </w:r>
          </w:p>
        </w:tc>
        <w:tc>
          <w:tcPr>
            <w:tcW w:w="75" w:type="dxa"/>
            <w:tcBorders/>
            <w:vAlign w:val="bottom"/>
          </w:tcPr>
          <w:p>
            <w:pPr>
              <w:pStyle w:val="TableContents"/>
              <w:bidi w:val="0"/>
              <w:spacing w:before="0" w:after="283"/>
              <w:jc w:val="left"/>
              <w:rPr/>
            </w:pPr>
            <w:r>
              <w:rPr/>
              <w:t> </w:t>
            </w:r>
          </w:p>
        </w:tc>
      </w:tr>
      <w:tr>
        <w:trPr/>
        <w:tc>
          <w:tcPr>
            <w:tcW w:w="6985" w:type="dxa"/>
            <w:tcBorders/>
            <w:shd w:fill="CCEEFF" w:val="clear"/>
            <w:vAlign w:val="bottom"/>
          </w:tcPr>
          <w:p>
            <w:pPr>
              <w:pStyle w:val="TableContents"/>
              <w:bidi w:val="0"/>
              <w:spacing w:lineRule="auto" w:line="300" w:before="0" w:after="0"/>
              <w:jc w:val="left"/>
              <w:rPr/>
            </w:pPr>
            <w:r>
              <w:rPr/>
              <w:t>Shareholders’ equity</w:t>
            </w:r>
          </w:p>
        </w:tc>
        <w:tc>
          <w:tcPr>
            <w:tcW w:w="6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8,408</w:t>
            </w:r>
          </w:p>
        </w:tc>
        <w:tc>
          <w:tcPr>
            <w:tcW w:w="75"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lineRule="auto" w:line="300" w:before="0" w:after="0"/>
              <w:jc w:val="left"/>
              <w:rPr/>
            </w:pPr>
            <w:r>
              <w:rPr/>
              <w:t>Total liabilities and equity</w:t>
            </w:r>
          </w:p>
        </w:tc>
        <w:tc>
          <w:tcPr>
            <w:tcW w:w="6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037" w:type="dxa"/>
            <w:tcBorders>
              <w:bottom w:val="double" w:sz="8" w:space="0" w:color="000000"/>
            </w:tcBorders>
            <w:tcMar>
              <w:bottom w:w="28" w:type="dxa"/>
            </w:tcMar>
            <w:vAlign w:val="bottom"/>
          </w:tcPr>
          <w:p>
            <w:pPr>
              <w:pStyle w:val="TableContents"/>
              <w:bidi w:val="0"/>
              <w:spacing w:lineRule="auto" w:line="300" w:before="0" w:after="0"/>
              <w:jc w:val="right"/>
              <w:rPr/>
            </w:pPr>
            <w:r>
              <w:rPr/>
              <w:t>35,000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73" w:type="dxa"/>
            <w:tcBorders>
              <w:bottom w:val="double" w:sz="8" w:space="0" w:color="000000"/>
            </w:tcBorders>
            <w:tcMar>
              <w:bottom w:w="28" w:type="dxa"/>
            </w:tcMar>
            <w:vAlign w:val="bottom"/>
          </w:tcPr>
          <w:p>
            <w:pPr>
              <w:pStyle w:val="TableContents"/>
              <w:bidi w:val="0"/>
              <w:spacing w:lineRule="auto" w:line="300" w:before="0" w:after="0"/>
              <w:jc w:val="right"/>
              <w:rPr/>
            </w:pPr>
            <w:r>
              <w:rPr/>
              <w:t>22,900</w:t>
            </w:r>
          </w:p>
        </w:tc>
        <w:tc>
          <w:tcPr>
            <w:tcW w:w="75"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lineRule="auto" w:line="300" w:before="0" w:after="0"/>
              <w:jc w:val="center"/>
              <w:rPr>
                <w:b/>
              </w:rPr>
            </w:pPr>
            <w:r>
              <w:rPr>
                <w:b/>
              </w:rPr>
              <w:t>Lifeward Ltd. And subsidiaries</w:t>
            </w:r>
          </w:p>
        </w:tc>
      </w:tr>
      <w:tr>
        <w:trPr/>
        <w:tc>
          <w:tcPr>
            <w:tcW w:w="5255" w:type="dxa"/>
            <w:tcBorders/>
            <w:vAlign w:val="center"/>
          </w:tcPr>
          <w:p>
            <w:pPr>
              <w:pStyle w:val="TableContents"/>
              <w:bidi w:val="0"/>
              <w:spacing w:lineRule="auto" w:line="300" w:before="0" w:after="0"/>
              <w:jc w:val="center"/>
              <w:rPr>
                <w:b/>
              </w:rPr>
            </w:pPr>
            <w:r>
              <w:rPr>
                <w:b/>
              </w:rPr>
              <w:t>Condensed Consolidated Statements of Cash Flows</w:t>
            </w:r>
          </w:p>
        </w:tc>
      </w:tr>
      <w:tr>
        <w:trPr/>
        <w:tc>
          <w:tcPr>
            <w:tcW w:w="5255" w:type="dxa"/>
            <w:tcBorders/>
            <w:vAlign w:val="center"/>
          </w:tcPr>
          <w:p>
            <w:pPr>
              <w:pStyle w:val="TableContents"/>
              <w:bidi w:val="0"/>
              <w:spacing w:lineRule="auto" w:line="300" w:before="0" w:after="0"/>
              <w:jc w:val="center"/>
              <w:rPr>
                <w:b/>
              </w:rPr>
            </w:pPr>
            <w:r>
              <w:rPr>
                <w:b/>
              </w:rPr>
              <w:t>(Unaudited)</w:t>
            </w:r>
          </w:p>
        </w:tc>
      </w:tr>
      <w:tr>
        <w:trPr/>
        <w:tc>
          <w:tcPr>
            <w:tcW w:w="5255" w:type="dxa"/>
            <w:tcBorders/>
            <w:vAlign w:val="center"/>
          </w:tcPr>
          <w:p>
            <w:pPr>
              <w:pStyle w:val="TableContents"/>
              <w:bidi w:val="0"/>
              <w:spacing w:lineRule="auto" w:line="300" w:before="0" w:after="0"/>
              <w:jc w:val="center"/>
              <w:rPr>
                <w:b/>
              </w:rPr>
            </w:pPr>
            <w:r>
              <w:rPr>
                <w:b/>
              </w:rPr>
              <w:t>(In thousands)</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4" w:name="z515d9b86ee1a4529a392765a22dd8c69"/>
      <w:bookmarkStart w:id="25" w:name="z515d9b86ee1a4529a392765a22dd8c69"/>
      <w:bookmarkEnd w:id="25"/>
    </w:p>
    <w:tbl>
      <w:tblPr>
        <w:tblW w:w="9417" w:type="dxa"/>
        <w:jc w:val="left"/>
        <w:tblInd w:w="0" w:type="dxa"/>
        <w:tblLayout w:type="fixed"/>
        <w:tblCellMar>
          <w:top w:w="0" w:type="dxa"/>
          <w:left w:w="0" w:type="dxa"/>
          <w:bottom w:w="0" w:type="dxa"/>
          <w:right w:w="0" w:type="dxa"/>
        </w:tblCellMar>
      </w:tblPr>
      <w:tblGrid>
        <w:gridCol w:w="7340"/>
        <w:gridCol w:w="60"/>
        <w:gridCol w:w="152"/>
        <w:gridCol w:w="742"/>
        <w:gridCol w:w="103"/>
        <w:gridCol w:w="65"/>
        <w:gridCol w:w="152"/>
        <w:gridCol w:w="693"/>
        <w:gridCol w:w="110"/>
      </w:tblGrid>
      <w:tr>
        <w:trPr/>
        <w:tc>
          <w:tcPr>
            <w:tcW w:w="734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907" w:type="dxa"/>
            <w:gridSpan w:val="6"/>
            <w:tcBorders/>
            <w:vAlign w:val="bottom"/>
          </w:tcPr>
          <w:p>
            <w:pPr>
              <w:pStyle w:val="TableContents"/>
              <w:bidi w:val="0"/>
              <w:spacing w:lineRule="auto" w:line="300" w:before="0" w:after="0"/>
              <w:jc w:val="center"/>
              <w:rPr>
                <w:b/>
              </w:rPr>
            </w:pPr>
            <w:r>
              <w:rPr>
                <w:b/>
              </w:rPr>
              <w:t>Six Months Ended</w:t>
            </w:r>
          </w:p>
        </w:tc>
        <w:tc>
          <w:tcPr>
            <w:tcW w:w="110" w:type="dxa"/>
            <w:tcBorders/>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907"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894"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7340" w:type="dxa"/>
            <w:tcBorders/>
            <w:shd w:fill="CCEEFF" w:val="clear"/>
            <w:vAlign w:val="bottom"/>
          </w:tcPr>
          <w:p>
            <w:pPr>
              <w:pStyle w:val="TableContents"/>
              <w:bidi w:val="0"/>
              <w:spacing w:lineRule="auto" w:line="300" w:before="0" w:after="0"/>
              <w:jc w:val="left"/>
              <w:rPr/>
            </w:pPr>
            <w:r>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pPr>
            <w:r>
              <w:rPr/>
              <w:t>$</w:t>
            </w:r>
          </w:p>
        </w:tc>
        <w:tc>
          <w:tcPr>
            <w:tcW w:w="742" w:type="dxa"/>
            <w:tcBorders/>
            <w:shd w:fill="CCEEFF" w:val="clear"/>
            <w:vAlign w:val="bottom"/>
          </w:tcPr>
          <w:p>
            <w:pPr>
              <w:pStyle w:val="TableContents"/>
              <w:bidi w:val="0"/>
              <w:spacing w:lineRule="auto" w:line="300" w:before="0" w:after="0"/>
              <w:jc w:val="right"/>
              <w:rPr/>
            </w:pPr>
            <w:r>
              <w:rPr/>
              <w:t>(9,680</w:t>
            </w:r>
          </w:p>
        </w:tc>
        <w:tc>
          <w:tcPr>
            <w:tcW w:w="103"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pPr>
            <w:r>
              <w:rPr/>
              <w:t>$</w:t>
            </w:r>
          </w:p>
        </w:tc>
        <w:tc>
          <w:tcPr>
            <w:tcW w:w="693" w:type="dxa"/>
            <w:tcBorders/>
            <w:shd w:fill="CCEEFF" w:val="clear"/>
            <w:vAlign w:val="bottom"/>
          </w:tcPr>
          <w:p>
            <w:pPr>
              <w:pStyle w:val="TableContents"/>
              <w:bidi w:val="0"/>
              <w:spacing w:lineRule="auto" w:line="300" w:before="0" w:after="0"/>
              <w:jc w:val="right"/>
              <w:rPr/>
            </w:pPr>
            <w:r>
              <w:rPr/>
              <w:t>(9,429</w:t>
            </w:r>
          </w:p>
        </w:tc>
        <w:tc>
          <w:tcPr>
            <w:tcW w:w="110" w:type="dxa"/>
            <w:tcBorders/>
            <w:shd w:fill="CCEEFF" w:val="clear"/>
            <w:vAlign w:val="bottom"/>
          </w:tcPr>
          <w:p>
            <w:pPr>
              <w:pStyle w:val="TableContents"/>
              <w:bidi w:val="0"/>
              <w:spacing w:lineRule="auto" w:line="300" w:before="0" w:after="0"/>
              <w:jc w:val="left"/>
              <w:rPr/>
            </w:pPr>
            <w:r>
              <w:rPr/>
              <w:t>)</w:t>
            </w:r>
          </w:p>
        </w:tc>
      </w:tr>
      <w:tr>
        <w:trPr/>
        <w:tc>
          <w:tcPr>
            <w:tcW w:w="7340" w:type="dxa"/>
            <w:tcBorders/>
            <w:vAlign w:val="bottom"/>
          </w:tcPr>
          <w:p>
            <w:pPr>
              <w:pStyle w:val="TableContents"/>
              <w:bidi w:val="0"/>
              <w:spacing w:lineRule="auto" w:line="300" w:before="0" w:after="0"/>
              <w:jc w:val="left"/>
              <w:rPr/>
            </w:pPr>
            <w:r>
              <w:rPr/>
              <w:t>Net cash provided by (used in) investing activities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lineRule="auto" w:line="300" w:before="0" w:after="0"/>
              <w:jc w:val="right"/>
              <w:rPr/>
            </w:pPr>
            <w:r>
              <w:rPr/>
              <w:t>6,472</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lineRule="auto" w:line="300" w:before="0" w:after="0"/>
              <w:jc w:val="right"/>
              <w:rPr/>
            </w:pPr>
            <w:r>
              <w:rPr/>
              <w:t>(5</w:t>
            </w:r>
          </w:p>
        </w:tc>
        <w:tc>
          <w:tcPr>
            <w:tcW w:w="110" w:type="dxa"/>
            <w:tcBorders/>
            <w:vAlign w:val="bottom"/>
          </w:tcPr>
          <w:p>
            <w:pPr>
              <w:pStyle w:val="TableContents"/>
              <w:bidi w:val="0"/>
              <w:spacing w:lineRule="auto" w:line="300" w:before="0" w:after="0"/>
              <w:jc w:val="left"/>
              <w:rPr/>
            </w:pPr>
            <w:r>
              <w:rPr/>
              <w:t>)</w:t>
            </w:r>
          </w:p>
        </w:tc>
      </w:tr>
      <w:tr>
        <w:trPr/>
        <w:tc>
          <w:tcPr>
            <w:tcW w:w="7340" w:type="dxa"/>
            <w:tcBorders/>
            <w:shd w:fill="CCEEFF" w:val="clear"/>
            <w:vAlign w:val="bottom"/>
          </w:tcPr>
          <w:p>
            <w:pPr>
              <w:pStyle w:val="TableContents"/>
              <w:bidi w:val="0"/>
              <w:spacing w:lineRule="auto" w:line="300" w:before="0" w:after="0"/>
              <w:jc w:val="left"/>
              <w:rPr/>
            </w:pPr>
            <w:r>
              <w:rPr/>
              <w:t>Net cash provided by financing activities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lineRule="auto" w:line="300" w:before="0" w:after="0"/>
              <w:jc w:val="right"/>
              <w:rPr/>
            </w:pPr>
            <w:r>
              <w:rPr/>
              <w:t>10,505</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lineRule="auto" w:line="300" w:before="0" w:after="0"/>
              <w:jc w:val="right"/>
              <w:rPr/>
            </w:pPr>
            <w:r>
              <w:rPr/>
              <w:t>7,779</w:t>
            </w:r>
          </w:p>
        </w:tc>
        <w:tc>
          <w:tcPr>
            <w:tcW w:w="110" w:type="dxa"/>
            <w:tcBorders/>
            <w:shd w:fill="CCEEFF" w:val="clear"/>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lineRule="auto" w:line="300" w:before="0" w:after="0"/>
              <w:jc w:val="left"/>
              <w:rPr/>
            </w:pPr>
            <w:r>
              <w:rPr/>
              <w:t>Effect of Exchange rate changes on cash, cash equivalents and restricted cash</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lineRule="auto" w:line="300" w:before="0" w:after="0"/>
              <w:jc w:val="right"/>
              <w:rPr/>
            </w:pPr>
            <w:r>
              <w:rPr/>
              <w:t>12</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93" w:type="dxa"/>
            <w:tcBorders>
              <w:bottom w:val="single" w:sz="12" w:space="0" w:color="000000"/>
            </w:tcBorders>
            <w:tcMar>
              <w:bottom w:w="28" w:type="dxa"/>
            </w:tcMar>
            <w:vAlign w:val="bottom"/>
          </w:tcPr>
          <w:p>
            <w:pPr>
              <w:pStyle w:val="TableContents"/>
              <w:bidi w:val="0"/>
              <w:spacing w:lineRule="auto" w:line="300" w:before="0" w:after="0"/>
              <w:jc w:val="right"/>
              <w:rPr/>
            </w:pPr>
            <w:r>
              <w:rPr/>
              <w:t>70</w:t>
            </w:r>
          </w:p>
        </w:tc>
        <w:tc>
          <w:tcPr>
            <w:tcW w:w="110" w:type="dxa"/>
            <w:tcBorders/>
            <w:vAlign w:val="bottom"/>
          </w:tcPr>
          <w:p>
            <w:pPr>
              <w:pStyle w:val="TableContents"/>
              <w:bidi w:val="0"/>
              <w:spacing w:before="0" w:after="283"/>
              <w:jc w:val="left"/>
              <w:rPr/>
            </w:pPr>
            <w:r>
              <w:rPr/>
              <w:t> </w:t>
            </w:r>
          </w:p>
        </w:tc>
      </w:tr>
      <w:tr>
        <w:trPr/>
        <w:tc>
          <w:tcPr>
            <w:tcW w:w="7340" w:type="dxa"/>
            <w:tcBorders/>
            <w:shd w:fill="CCEEFF" w:val="clear"/>
            <w:vAlign w:val="bottom"/>
          </w:tcPr>
          <w:p>
            <w:pPr>
              <w:pStyle w:val="TableContents"/>
              <w:bidi w:val="0"/>
              <w:spacing w:lineRule="auto" w:line="300" w:before="0" w:after="0"/>
              <w:jc w:val="left"/>
              <w:rPr/>
            </w:pPr>
            <w:r>
              <w:rPr/>
              <w:t>Increase (decrease) in cash,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lineRule="auto" w:line="300" w:before="0" w:after="0"/>
              <w:jc w:val="right"/>
              <w:rPr/>
            </w:pPr>
            <w:r>
              <w:rPr/>
              <w:t>7,309</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lineRule="auto" w:line="300" w:before="0" w:after="0"/>
              <w:jc w:val="right"/>
              <w:rPr/>
            </w:pPr>
            <w:r>
              <w:rPr/>
              <w:t>(1,585</w:t>
            </w:r>
          </w:p>
        </w:tc>
        <w:tc>
          <w:tcPr>
            <w:tcW w:w="110" w:type="dxa"/>
            <w:tcBorders/>
            <w:shd w:fill="CCEEFF" w:val="clear"/>
            <w:vAlign w:val="bottom"/>
          </w:tcPr>
          <w:p>
            <w:pPr>
              <w:pStyle w:val="TableContents"/>
              <w:bidi w:val="0"/>
              <w:spacing w:lineRule="auto" w:line="300" w:before="0" w:after="0"/>
              <w:jc w:val="left"/>
              <w:rPr/>
            </w:pPr>
            <w:r>
              <w:rPr/>
              <w:t>)</w:t>
            </w:r>
          </w:p>
        </w:tc>
      </w:tr>
      <w:tr>
        <w:trPr/>
        <w:tc>
          <w:tcPr>
            <w:tcW w:w="7340" w:type="dxa"/>
            <w:tcBorders/>
            <w:vAlign w:val="bottom"/>
          </w:tcPr>
          <w:p>
            <w:pPr>
              <w:pStyle w:val="TableContents"/>
              <w:bidi w:val="0"/>
              <w:spacing w:lineRule="auto" w:line="300" w:before="0" w:after="0"/>
              <w:jc w:val="left"/>
              <w:rPr/>
            </w:pPr>
            <w:r>
              <w:rPr/>
              <w:t>Cash, cash equivalents, and restricted cash at beginning of period</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lineRule="auto" w:line="300" w:before="0" w:after="0"/>
              <w:jc w:val="right"/>
              <w:rPr/>
            </w:pPr>
            <w:r>
              <w:rPr/>
              <w:t>2,579</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93" w:type="dxa"/>
            <w:tcBorders>
              <w:bottom w:val="single" w:sz="12" w:space="0" w:color="000000"/>
            </w:tcBorders>
            <w:tcMar>
              <w:bottom w:w="28" w:type="dxa"/>
            </w:tcMar>
            <w:vAlign w:val="bottom"/>
          </w:tcPr>
          <w:p>
            <w:pPr>
              <w:pStyle w:val="TableContents"/>
              <w:bidi w:val="0"/>
              <w:spacing w:lineRule="auto" w:line="300" w:before="0" w:after="0"/>
              <w:jc w:val="right"/>
              <w:rPr/>
            </w:pPr>
            <w:r>
              <w:rPr/>
              <w:t>7,108</w:t>
            </w:r>
          </w:p>
        </w:tc>
        <w:tc>
          <w:tcPr>
            <w:tcW w:w="110" w:type="dxa"/>
            <w:tcBorders/>
            <w:vAlign w:val="bottom"/>
          </w:tcPr>
          <w:p>
            <w:pPr>
              <w:pStyle w:val="TableContents"/>
              <w:bidi w:val="0"/>
              <w:spacing w:before="0" w:after="283"/>
              <w:jc w:val="left"/>
              <w:rPr/>
            </w:pPr>
            <w:r>
              <w:rPr/>
              <w:t> </w:t>
            </w:r>
          </w:p>
        </w:tc>
      </w:tr>
      <w:tr>
        <w:trPr/>
        <w:tc>
          <w:tcPr>
            <w:tcW w:w="7340" w:type="dxa"/>
            <w:tcBorders/>
            <w:shd w:fill="CCEEFF" w:val="clear"/>
            <w:vAlign w:val="bottom"/>
          </w:tcPr>
          <w:p>
            <w:pPr>
              <w:pStyle w:val="TableContents"/>
              <w:bidi w:val="0"/>
              <w:spacing w:lineRule="auto" w:line="300" w:before="0" w:after="0"/>
              <w:jc w:val="left"/>
              <w:rPr/>
            </w:pPr>
            <w:r>
              <w:rPr/>
              <w:t>Cash, cash equivalents, and restricted cash at end of period</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74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9,888</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9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5,523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tbl>
      <w:tblPr>
        <w:tblW w:w="3245" w:type="dxa"/>
        <w:jc w:val="left"/>
        <w:tblInd w:w="0" w:type="dxa"/>
        <w:tblLayout w:type="fixed"/>
        <w:tblCellMar>
          <w:top w:w="0" w:type="dxa"/>
          <w:left w:w="0" w:type="dxa"/>
          <w:bottom w:w="0" w:type="dxa"/>
          <w:right w:w="0" w:type="dxa"/>
        </w:tblCellMar>
      </w:tblPr>
      <w:tblGrid>
        <w:gridCol w:w="3245"/>
      </w:tblGrid>
      <w:tr>
        <w:trPr/>
        <w:tc>
          <w:tcPr>
            <w:tcW w:w="3245" w:type="dxa"/>
            <w:tcBorders/>
            <w:vAlign w:val="center"/>
          </w:tcPr>
          <w:p>
            <w:pPr>
              <w:pStyle w:val="TableContents"/>
              <w:bidi w:val="0"/>
              <w:spacing w:lineRule="auto" w:line="300" w:before="0" w:after="0"/>
              <w:jc w:val="center"/>
              <w:rPr>
                <w:b/>
              </w:rPr>
            </w:pPr>
            <w:r>
              <w:rPr>
                <w:b/>
              </w:rPr>
              <w:t>Lifeward Ltd. And subsidiaries</w:t>
            </w:r>
          </w:p>
        </w:tc>
      </w:tr>
      <w:tr>
        <w:trPr/>
        <w:tc>
          <w:tcPr>
            <w:tcW w:w="3245" w:type="dxa"/>
            <w:tcBorders/>
            <w:vAlign w:val="center"/>
          </w:tcPr>
          <w:p>
            <w:pPr>
              <w:pStyle w:val="TableContents"/>
              <w:bidi w:val="0"/>
              <w:spacing w:lineRule="auto" w:line="300" w:before="0" w:after="0"/>
              <w:jc w:val="center"/>
              <w:rPr>
                <w:b/>
              </w:rPr>
            </w:pPr>
            <w:r>
              <w:rPr>
                <w:b/>
              </w:rPr>
              <w:t>(Unaudited)</w:t>
            </w:r>
          </w:p>
        </w:tc>
      </w:tr>
      <w:tr>
        <w:trPr/>
        <w:tc>
          <w:tcPr>
            <w:tcW w:w="3245" w:type="dxa"/>
            <w:tcBorders/>
            <w:vAlign w:val="center"/>
          </w:tcPr>
          <w:p>
            <w:pPr>
              <w:pStyle w:val="TableContents"/>
              <w:bidi w:val="0"/>
              <w:spacing w:lineRule="auto" w:line="300" w:before="0" w:after="0"/>
              <w:jc w:val="center"/>
              <w:rPr>
                <w:b/>
              </w:rPr>
            </w:pPr>
            <w:r>
              <w:rPr>
                <w:b/>
              </w:rPr>
              <w:t>(In thousand)</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6" w:name="z730452ba1ce442dbb463044ad03cf9c8"/>
      <w:bookmarkStart w:id="27" w:name="z730452ba1ce442dbb463044ad03cf9c8"/>
      <w:bookmarkEnd w:id="27"/>
    </w:p>
    <w:tbl>
      <w:tblPr>
        <w:tblW w:w="8184" w:type="dxa"/>
        <w:jc w:val="left"/>
        <w:tblInd w:w="0" w:type="dxa"/>
        <w:tblLayout w:type="fixed"/>
        <w:tblCellMar>
          <w:top w:w="0" w:type="dxa"/>
          <w:left w:w="0" w:type="dxa"/>
          <w:bottom w:w="0" w:type="dxa"/>
          <w:right w:w="0" w:type="dxa"/>
        </w:tblCellMar>
      </w:tblPr>
      <w:tblGrid>
        <w:gridCol w:w="3815"/>
        <w:gridCol w:w="60"/>
        <w:gridCol w:w="203"/>
        <w:gridCol w:w="814"/>
        <w:gridCol w:w="87"/>
        <w:gridCol w:w="87"/>
        <w:gridCol w:w="203"/>
        <w:gridCol w:w="814"/>
        <w:gridCol w:w="60"/>
        <w:gridCol w:w="60"/>
        <w:gridCol w:w="151"/>
        <w:gridCol w:w="737"/>
        <w:gridCol w:w="65"/>
        <w:gridCol w:w="65"/>
        <w:gridCol w:w="151"/>
        <w:gridCol w:w="737"/>
        <w:gridCol w:w="75"/>
      </w:tblGrid>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vAlign w:val="bottom"/>
          </w:tcPr>
          <w:p>
            <w:pPr>
              <w:pStyle w:val="TableContents"/>
              <w:bidi w:val="0"/>
              <w:spacing w:lineRule="auto" w:line="300" w:before="0" w:after="0"/>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6" w:type="dxa"/>
            <w:gridSpan w:val="6"/>
            <w:tcBorders/>
            <w:vAlign w:val="bottom"/>
          </w:tcPr>
          <w:p>
            <w:pPr>
              <w:pStyle w:val="TableContents"/>
              <w:bidi w:val="0"/>
              <w:spacing w:lineRule="auto" w:line="300" w:before="0" w:after="0"/>
              <w:jc w:val="center"/>
              <w:rPr>
                <w:b/>
              </w:rPr>
            </w:pPr>
            <w:r>
              <w:rPr>
                <w:b/>
              </w:rPr>
              <w:t>Six Months Ended</w:t>
            </w:r>
          </w:p>
        </w:tc>
        <w:tc>
          <w:tcPr>
            <w:tcW w:w="7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7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7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jc w:val="left"/>
              <w:rPr/>
            </w:pPr>
            <w:r>
              <w:rPr/>
              <w:t>Revenues based on customer’s location:</w:t>
            </w:r>
          </w:p>
        </w:tc>
        <w:tc>
          <w:tcPr>
            <w:tcW w:w="60" w:type="dxa"/>
            <w:tcBorders/>
            <w:shd w:fill="CCEEFF" w:val="clear"/>
            <w:vAlign w:val="bottom"/>
          </w:tcPr>
          <w:p>
            <w:pPr>
              <w:pStyle w:val="TableContents"/>
              <w:bidi w:val="0"/>
              <w:spacing w:before="0" w:after="283"/>
              <w:jc w:val="left"/>
              <w:rPr/>
            </w:pPr>
            <w:r>
              <w:rPr/>
              <w:t> </w:t>
            </w:r>
          </w:p>
        </w:tc>
        <w:tc>
          <w:tcPr>
            <w:tcW w:w="1017" w:type="dxa"/>
            <w:gridSpan w:val="2"/>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17"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gridSpan w:val="2"/>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8"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ind w:left="0" w:right="0" w:firstLine="220"/>
              <w:jc w:val="left"/>
              <w:rPr/>
            </w:pPr>
            <w:r>
              <w:rPr/>
              <w:t>United States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lineRule="auto" w:line="300" w:before="0" w:after="0"/>
              <w:jc w:val="left"/>
              <w:rPr/>
            </w:pPr>
            <w:r>
              <w:rPr/>
              <w:t>$</w:t>
            </w:r>
          </w:p>
        </w:tc>
        <w:tc>
          <w:tcPr>
            <w:tcW w:w="814" w:type="dxa"/>
            <w:tcBorders/>
            <w:vAlign w:val="bottom"/>
          </w:tcPr>
          <w:p>
            <w:pPr>
              <w:pStyle w:val="TableContents"/>
              <w:bidi w:val="0"/>
              <w:spacing w:lineRule="auto" w:line="300" w:before="0" w:after="0"/>
              <w:jc w:val="right"/>
              <w:rPr/>
            </w:pPr>
            <w:r>
              <w:rPr/>
              <w:t>4,063</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lineRule="auto" w:line="300" w:before="0" w:after="0"/>
              <w:jc w:val="left"/>
              <w:rPr/>
            </w:pPr>
            <w:r>
              <w:rPr/>
              <w:t>$</w:t>
            </w:r>
          </w:p>
        </w:tc>
        <w:tc>
          <w:tcPr>
            <w:tcW w:w="814" w:type="dxa"/>
            <w:tcBorders/>
            <w:vAlign w:val="bottom"/>
          </w:tcPr>
          <w:p>
            <w:pPr>
              <w:pStyle w:val="TableContents"/>
              <w:bidi w:val="0"/>
              <w:spacing w:lineRule="auto" w:line="300" w:before="0" w:after="0"/>
              <w:jc w:val="right"/>
              <w:rPr/>
            </w:pPr>
            <w:r>
              <w:rPr/>
              <w:t>3,062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lineRule="auto" w:line="300" w:before="0" w:after="0"/>
              <w:jc w:val="left"/>
              <w:rPr/>
            </w:pPr>
            <w:r>
              <w:rPr/>
              <w:t>$</w:t>
            </w:r>
          </w:p>
        </w:tc>
        <w:tc>
          <w:tcPr>
            <w:tcW w:w="737" w:type="dxa"/>
            <w:tcBorders/>
            <w:vAlign w:val="bottom"/>
          </w:tcPr>
          <w:p>
            <w:pPr>
              <w:pStyle w:val="TableContents"/>
              <w:bidi w:val="0"/>
              <w:spacing w:lineRule="auto" w:line="300" w:before="0" w:after="0"/>
              <w:jc w:val="right"/>
              <w:rPr/>
            </w:pPr>
            <w:r>
              <w:rPr/>
              <w:t>6,424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lineRule="auto" w:line="300" w:before="0" w:after="0"/>
              <w:jc w:val="left"/>
              <w:rPr/>
            </w:pPr>
            <w:r>
              <w:rPr/>
              <w:t>$</w:t>
            </w:r>
          </w:p>
        </w:tc>
        <w:tc>
          <w:tcPr>
            <w:tcW w:w="737" w:type="dxa"/>
            <w:tcBorders/>
            <w:vAlign w:val="bottom"/>
          </w:tcPr>
          <w:p>
            <w:pPr>
              <w:pStyle w:val="TableContents"/>
              <w:bidi w:val="0"/>
              <w:spacing w:lineRule="auto" w:line="300" w:before="0" w:after="0"/>
              <w:jc w:val="right"/>
              <w:rPr/>
            </w:pPr>
            <w:r>
              <w:rPr/>
              <w:t>6,271</w:t>
            </w:r>
          </w:p>
        </w:tc>
        <w:tc>
          <w:tcPr>
            <w:tcW w:w="7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ind w:left="0" w:right="0" w:firstLine="220"/>
              <w:jc w:val="left"/>
              <w:rPr/>
            </w:pPr>
            <w:r>
              <w:rPr/>
              <w:t>Europe</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lineRule="auto" w:line="300" w:before="0" w:after="0"/>
              <w:jc w:val="right"/>
              <w:rPr/>
            </w:pPr>
            <w:r>
              <w:rPr/>
              <w:t>1,053</w:t>
            </w:r>
          </w:p>
        </w:tc>
        <w:tc>
          <w:tcPr>
            <w:tcW w:w="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lineRule="auto" w:line="300" w:before="0" w:after="0"/>
              <w:jc w:val="right"/>
              <w:rPr/>
            </w:pPr>
            <w:r>
              <w:rPr/>
              <w:t>693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lineRule="auto" w:line="300" w:before="0" w:after="0"/>
              <w:jc w:val="right"/>
              <w:rPr/>
            </w:pPr>
            <w:r>
              <w:rPr/>
              <w:t>1,757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lineRule="auto" w:line="300" w:before="0" w:after="0"/>
              <w:jc w:val="right"/>
              <w:rPr/>
            </w:pPr>
            <w:r>
              <w:rPr/>
              <w:t>1,473</w:t>
            </w:r>
          </w:p>
        </w:tc>
        <w:tc>
          <w:tcPr>
            <w:tcW w:w="7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ind w:left="0" w:right="0" w:firstLine="220"/>
              <w:jc w:val="left"/>
              <w:rPr/>
            </w:pPr>
            <w:r>
              <w:rPr/>
              <w:t>Germany</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lineRule="auto" w:line="300" w:before="0" w:after="0"/>
              <w:jc w:val="right"/>
              <w:rPr/>
            </w:pPr>
            <w:r>
              <w:rPr/>
              <w:t>1,134</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lineRule="auto" w:line="300" w:before="0" w:after="0"/>
              <w:jc w:val="right"/>
              <w:rPr/>
            </w:pPr>
            <w:r>
              <w:rPr/>
              <w:t>1,410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lineRule="auto" w:line="300" w:before="0" w:after="0"/>
              <w:jc w:val="right"/>
              <w:rPr/>
            </w:pPr>
            <w:r>
              <w:rPr/>
              <w:t>1,831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lineRule="auto" w:line="300" w:before="0" w:after="0"/>
              <w:jc w:val="right"/>
              <w:rPr/>
            </w:pPr>
            <w:r>
              <w:rPr/>
              <w:t>1,966</w:t>
            </w:r>
          </w:p>
        </w:tc>
        <w:tc>
          <w:tcPr>
            <w:tcW w:w="7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ind w:left="0" w:right="0" w:firstLine="220"/>
              <w:jc w:val="left"/>
              <w:rPr/>
            </w:pPr>
            <w:r>
              <w:rPr/>
              <w:t>Asia - Pacific</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lineRule="auto" w:line="300" w:before="0" w:after="0"/>
              <w:jc w:val="right"/>
              <w:rPr/>
            </w:pPr>
            <w:r>
              <w:rPr/>
              <w:t>235</w:t>
            </w:r>
          </w:p>
        </w:tc>
        <w:tc>
          <w:tcPr>
            <w:tcW w:w="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lineRule="auto" w:line="300" w:before="0" w:after="0"/>
              <w:jc w:val="right"/>
              <w:rPr/>
            </w:pPr>
            <w:r>
              <w:rPr/>
              <w:t>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lineRule="auto" w:line="300" w:before="0" w:after="0"/>
              <w:jc w:val="right"/>
              <w:rPr/>
            </w:pPr>
            <w:r>
              <w:rPr/>
              <w:t>287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lineRule="auto" w:line="300" w:before="0" w:after="0"/>
              <w:jc w:val="right"/>
              <w:rPr/>
            </w:pPr>
            <w:r>
              <w:rPr/>
              <w:t>166</w:t>
            </w:r>
          </w:p>
        </w:tc>
        <w:tc>
          <w:tcPr>
            <w:tcW w:w="7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ind w:left="0" w:right="0" w:firstLine="220"/>
              <w:jc w:val="left"/>
              <w:rPr/>
            </w:pPr>
            <w:r>
              <w:rPr/>
              <w:t>Rest of the world</w:t>
            </w:r>
          </w:p>
        </w:tc>
        <w:tc>
          <w:tcPr>
            <w:tcW w:w="6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14" w:type="dxa"/>
            <w:tcBorders>
              <w:bottom w:val="single" w:sz="12" w:space="0" w:color="000000"/>
            </w:tcBorders>
            <w:tcMar>
              <w:bottom w:w="28" w:type="dxa"/>
            </w:tcMar>
            <w:vAlign w:val="bottom"/>
          </w:tcPr>
          <w:p>
            <w:pPr>
              <w:pStyle w:val="TableContents"/>
              <w:bidi w:val="0"/>
              <w:spacing w:lineRule="auto" w:line="300" w:before="0" w:after="0"/>
              <w:jc w:val="right"/>
              <w:rPr/>
            </w:pPr>
            <w:r>
              <w:rPr/>
              <w:t>138</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14" w:type="dxa"/>
            <w:tcBorders>
              <w:bottom w:val="single" w:sz="12" w:space="0" w:color="000000"/>
            </w:tcBorders>
            <w:tcMar>
              <w:bottom w:w="28" w:type="dxa"/>
            </w:tcMar>
            <w:vAlign w:val="bottom"/>
          </w:tcPr>
          <w:p>
            <w:pPr>
              <w:pStyle w:val="TableContents"/>
              <w:bidi w:val="0"/>
              <w:spacing w:lineRule="auto" w:line="300" w:before="0" w:after="0"/>
              <w:jc w:val="right"/>
              <w:rPr/>
            </w:pPr>
            <w:r>
              <w:rPr/>
              <w:t>435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7" w:type="dxa"/>
            <w:tcBorders>
              <w:bottom w:val="single" w:sz="12" w:space="0" w:color="000000"/>
            </w:tcBorders>
            <w:tcMar>
              <w:bottom w:w="28" w:type="dxa"/>
            </w:tcMar>
            <w:vAlign w:val="bottom"/>
          </w:tcPr>
          <w:p>
            <w:pPr>
              <w:pStyle w:val="TableContents"/>
              <w:bidi w:val="0"/>
              <w:spacing w:lineRule="auto" w:line="300" w:before="0" w:after="0"/>
              <w:jc w:val="right"/>
              <w:rPr/>
            </w:pPr>
            <w:r>
              <w:rPr/>
              <w:t>247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7" w:type="dxa"/>
            <w:tcBorders>
              <w:bottom w:val="single" w:sz="12" w:space="0" w:color="000000"/>
            </w:tcBorders>
            <w:tcMar>
              <w:bottom w:w="28" w:type="dxa"/>
            </w:tcMar>
            <w:vAlign w:val="bottom"/>
          </w:tcPr>
          <w:p>
            <w:pPr>
              <w:pStyle w:val="TableContents"/>
              <w:bidi w:val="0"/>
              <w:spacing w:lineRule="auto" w:line="300" w:before="0" w:after="0"/>
              <w:jc w:val="right"/>
              <w:rPr/>
            </w:pPr>
            <w:r>
              <w:rPr/>
              <w:t>882</w:t>
            </w:r>
          </w:p>
        </w:tc>
        <w:tc>
          <w:tcPr>
            <w:tcW w:w="7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jc w:val="left"/>
              <w:rPr/>
            </w:pPr>
            <w:r>
              <w:rPr/>
              <w:t>Total Revenues</w:t>
            </w:r>
          </w:p>
        </w:tc>
        <w:tc>
          <w:tcPr>
            <w:tcW w:w="6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1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6,623</w:t>
            </w:r>
          </w:p>
        </w:tc>
        <w:tc>
          <w:tcPr>
            <w:tcW w:w="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1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5,724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73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10,546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73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10,758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8" w:name="z0af6c049421e4255a780b1de18081407"/>
      <w:bookmarkStart w:id="29" w:name="z0af6c049421e4255a780b1de18081407"/>
      <w:bookmarkEnd w:id="29"/>
    </w:p>
    <w:tbl>
      <w:tblPr>
        <w:tblW w:w="10955" w:type="dxa"/>
        <w:jc w:val="left"/>
        <w:tblInd w:w="0" w:type="dxa"/>
        <w:tblLayout w:type="fixed"/>
        <w:tblCellMar>
          <w:top w:w="0" w:type="dxa"/>
          <w:left w:w="0" w:type="dxa"/>
          <w:bottom w:w="0" w:type="dxa"/>
          <w:right w:w="0" w:type="dxa"/>
        </w:tblCellMar>
      </w:tblPr>
      <w:tblGrid>
        <w:gridCol w:w="6200"/>
        <w:gridCol w:w="60"/>
        <w:gridCol w:w="140"/>
        <w:gridCol w:w="980"/>
        <w:gridCol w:w="95"/>
        <w:gridCol w:w="60"/>
        <w:gridCol w:w="140"/>
        <w:gridCol w:w="800"/>
        <w:gridCol w:w="95"/>
        <w:gridCol w:w="60"/>
        <w:gridCol w:w="140"/>
        <w:gridCol w:w="980"/>
        <w:gridCol w:w="95"/>
        <w:gridCol w:w="60"/>
        <w:gridCol w:w="140"/>
        <w:gridCol w:w="800"/>
        <w:gridCol w:w="110"/>
      </w:tblGrid>
      <w:tr>
        <w:trPr/>
        <w:tc>
          <w:tcPr>
            <w:tcW w:w="620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vAlign w:val="bottom"/>
          </w:tcPr>
          <w:p>
            <w:pPr>
              <w:pStyle w:val="TableContents"/>
              <w:bidi w:val="0"/>
              <w:spacing w:lineRule="auto" w:line="300" w:before="0" w:after="0"/>
              <w:jc w:val="center"/>
              <w:rPr>
                <w:b/>
              </w:rPr>
            </w:pPr>
            <w:r>
              <w:rPr>
                <w:b/>
              </w:rPr>
              <w:t>Six Months Ended</w:t>
            </w:r>
          </w:p>
        </w:tc>
        <w:tc>
          <w:tcPr>
            <w:tcW w:w="110" w:type="dxa"/>
            <w:tcBorders/>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i/>
              </w:rPr>
            </w:pPr>
            <w:r>
              <w:rPr>
                <w:i/>
              </w:rPr>
              <w:t>Dollars in thousands, except per share data</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200" w:type="dxa"/>
            <w:tcBorders/>
            <w:shd w:fill="CCEEFF" w:val="clear"/>
            <w:vAlign w:val="bottom"/>
          </w:tcPr>
          <w:p>
            <w:pPr>
              <w:pStyle w:val="TableContents"/>
              <w:bidi w:val="0"/>
              <w:spacing w:lineRule="auto" w:line="300" w:before="0" w:after="0"/>
              <w:jc w:val="left"/>
              <w:rPr>
                <w:b/>
              </w:rPr>
            </w:pPr>
            <w:r>
              <w:rPr>
                <w:b/>
              </w:rPr>
              <w:t>GAAP net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980" w:type="dxa"/>
            <w:tcBorders/>
            <w:shd w:fill="CCEEFF" w:val="clear"/>
            <w:vAlign w:val="bottom"/>
          </w:tcPr>
          <w:p>
            <w:pPr>
              <w:pStyle w:val="TableContents"/>
              <w:bidi w:val="0"/>
              <w:spacing w:lineRule="auto" w:line="300" w:before="0" w:after="0"/>
              <w:jc w:val="right"/>
              <w:rPr>
                <w:b/>
              </w:rPr>
            </w:pPr>
            <w:r>
              <w:rPr>
                <w:b/>
              </w:rPr>
              <w:t>(11,519</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800" w:type="dxa"/>
            <w:tcBorders/>
            <w:shd w:fill="CCEEFF" w:val="clear"/>
            <w:vAlign w:val="bottom"/>
          </w:tcPr>
          <w:p>
            <w:pPr>
              <w:pStyle w:val="TableContents"/>
              <w:bidi w:val="0"/>
              <w:spacing w:lineRule="auto" w:line="300" w:before="0" w:after="0"/>
              <w:jc w:val="right"/>
              <w:rPr>
                <w:b/>
              </w:rPr>
            </w:pPr>
            <w:r>
              <w:rPr>
                <w:b/>
              </w:rPr>
              <w:t>(6,562</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980" w:type="dxa"/>
            <w:tcBorders/>
            <w:shd w:fill="CCEEFF" w:val="clear"/>
            <w:vAlign w:val="bottom"/>
          </w:tcPr>
          <w:p>
            <w:pPr>
              <w:pStyle w:val="TableContents"/>
              <w:bidi w:val="0"/>
              <w:spacing w:lineRule="auto" w:line="300" w:before="0" w:after="0"/>
              <w:jc w:val="right"/>
              <w:rPr>
                <w:b/>
              </w:rPr>
            </w:pPr>
            <w:r>
              <w:rPr>
                <w:b/>
              </w:rPr>
              <w:t>(22,312</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800" w:type="dxa"/>
            <w:tcBorders/>
            <w:shd w:fill="CCEEFF" w:val="clear"/>
            <w:vAlign w:val="bottom"/>
          </w:tcPr>
          <w:p>
            <w:pPr>
              <w:pStyle w:val="TableContents"/>
              <w:bidi w:val="0"/>
              <w:spacing w:lineRule="auto" w:line="300" w:before="0" w:after="0"/>
              <w:jc w:val="right"/>
              <w:rPr>
                <w:b/>
              </w:rPr>
            </w:pPr>
            <w:r>
              <w:rPr>
                <w:b/>
              </w:rPr>
              <w:t>(11,396</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6200" w:type="dxa"/>
            <w:tcBorders/>
            <w:vAlign w:val="bottom"/>
          </w:tcPr>
          <w:p>
            <w:pPr>
              <w:pStyle w:val="TableContents"/>
              <w:bidi w:val="0"/>
              <w:spacing w:lineRule="auto" w:line="300" w:before="0" w:after="0"/>
              <w:jc w:val="left"/>
              <w:rPr>
                <w:i/>
              </w:rPr>
            </w:pPr>
            <w:r>
              <w:rPr>
                <w:i/>
              </w:rPr>
              <w:t>Adjustments: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00" w:type="dxa"/>
            <w:tcBorders/>
            <w:shd w:fill="CCEEFF" w:val="clear"/>
            <w:vAlign w:val="bottom"/>
          </w:tcPr>
          <w:p>
            <w:pPr>
              <w:pStyle w:val="TableContents"/>
              <w:bidi w:val="0"/>
              <w:spacing w:lineRule="auto" w:line="300" w:before="0" w:after="0"/>
              <w:jc w:val="left"/>
              <w:rPr/>
            </w:pPr>
            <w:r>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Non-cash acquired in-process R&amp;D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4,947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6200" w:type="dxa"/>
            <w:tcBorders/>
            <w:shd w:fill="CCEEFF" w:val="clear"/>
            <w:vAlign w:val="bottom"/>
          </w:tcPr>
          <w:p>
            <w:pPr>
              <w:pStyle w:val="TableContents"/>
              <w:bidi w:val="0"/>
              <w:spacing w:lineRule="auto" w:line="300" w:before="0" w:after="0"/>
              <w:jc w:val="left"/>
              <w:rPr/>
            </w:pPr>
            <w:r>
              <w:rPr/>
              <w:t>Oramed transaction-related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619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Other income related to the settlement of the post closing statement for the acquisition of AlterG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(142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(142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6200" w:type="dxa"/>
            <w:tcBorders/>
            <w:shd w:fill="CCEEFF" w:val="clear"/>
            <w:vAlign w:val="bottom"/>
          </w:tcPr>
          <w:p>
            <w:pPr>
              <w:pStyle w:val="TableContents"/>
              <w:bidi w:val="0"/>
              <w:spacing w:lineRule="auto" w:line="300" w:before="0" w:after="0"/>
              <w:jc w:val="left"/>
              <w:rPr/>
            </w:pPr>
            <w:r>
              <w:rPr/>
              <w:t>Restructuring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244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244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700</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Remeasurement of earnout liability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(608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(608</w:t>
            </w:r>
          </w:p>
        </w:tc>
        <w:tc>
          <w:tcPr>
            <w:tcW w:w="110" w:type="dxa"/>
            <w:tcBorders/>
            <w:vAlign w:val="bottom"/>
          </w:tcPr>
          <w:p>
            <w:pPr>
              <w:pStyle w:val="TableContents"/>
              <w:bidi w:val="0"/>
              <w:spacing w:lineRule="auto" w:line="300" w:before="0" w:after="0"/>
              <w:jc w:val="left"/>
              <w:rPr/>
            </w:pPr>
            <w:r>
              <w:rPr/>
              <w:t>)</w:t>
            </w:r>
          </w:p>
        </w:tc>
      </w:tr>
      <w:tr>
        <w:trPr/>
        <w:tc>
          <w:tcPr>
            <w:tcW w:w="6200" w:type="dxa"/>
            <w:tcBorders/>
            <w:shd w:fill="CCEEFF" w:val="clear"/>
            <w:vAlign w:val="bottom"/>
          </w:tcPr>
          <w:p>
            <w:pPr>
              <w:pStyle w:val="TableContents"/>
              <w:bidi w:val="0"/>
              <w:spacing w:lineRule="auto" w:line="300" w:before="0" w:after="0"/>
              <w:jc w:val="left"/>
              <w:rPr/>
            </w:pPr>
            <w:r>
              <w:rPr/>
              <w:t>Impairment charges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2,783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2,783</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Stock-based compensation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262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pPr>
            <w:r>
              <w:rPr/>
              <w:t>439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402</w:t>
            </w:r>
          </w:p>
        </w:tc>
        <w:tc>
          <w:tcPr>
            <w:tcW w:w="110" w:type="dxa"/>
            <w:tcBorders/>
            <w:vAlign w:val="bottom"/>
          </w:tcPr>
          <w:p>
            <w:pPr>
              <w:pStyle w:val="TableContents"/>
              <w:bidi w:val="0"/>
              <w:spacing w:before="0" w:after="283"/>
              <w:jc w:val="left"/>
              <w:rPr/>
            </w:pPr>
            <w:r>
              <w:rPr/>
              <w:t> </w:t>
            </w:r>
          </w:p>
        </w:tc>
      </w:tr>
      <w:tr>
        <w:trPr/>
        <w:tc>
          <w:tcPr>
            <w:tcW w:w="6200" w:type="dxa"/>
            <w:tcBorders/>
            <w:shd w:fill="CCEEFF" w:val="clear"/>
            <w:vAlign w:val="bottom"/>
          </w:tcPr>
          <w:p>
            <w:pPr>
              <w:pStyle w:val="TableContents"/>
              <w:bidi w:val="0"/>
              <w:spacing w:lineRule="auto" w:line="300" w:before="0" w:after="0"/>
              <w:jc w:val="left"/>
              <w:rPr/>
            </w:pPr>
            <w:r>
              <w:rPr/>
              <w:t>Non-cash amortization of debt discount associated with the convertible notes and warrants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153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pPr>
            <w:r>
              <w:rPr/>
              <w:t>958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Fair value remeasurement of warrant and derivative liabilities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6,912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6,387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6200" w:type="dxa"/>
            <w:tcBorders/>
            <w:shd w:fill="CCEEFF" w:val="clear"/>
            <w:vAlign w:val="bottom"/>
          </w:tcPr>
          <w:p>
            <w:pPr>
              <w:pStyle w:val="TableContents"/>
              <w:bidi w:val="0"/>
              <w:spacing w:lineRule="auto" w:line="300"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b/>
              </w:rPr>
            </w:pPr>
            <w:r>
              <w:rPr>
                <w:b/>
              </w:rPr>
              <w:t>Non-GAAP net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b/>
              </w:rPr>
            </w:pPr>
            <w:r>
              <w:rPr>
                <w:b/>
              </w:rPr>
              <w:t>$</w:t>
            </w:r>
          </w:p>
        </w:tc>
        <w:tc>
          <w:tcPr>
            <w:tcW w:w="980" w:type="dxa"/>
            <w:tcBorders/>
            <w:vAlign w:val="bottom"/>
          </w:tcPr>
          <w:p>
            <w:pPr>
              <w:pStyle w:val="TableContents"/>
              <w:bidi w:val="0"/>
              <w:spacing w:lineRule="auto" w:line="300" w:before="0" w:after="0"/>
              <w:jc w:val="right"/>
              <w:rPr>
                <w:b/>
              </w:rPr>
            </w:pPr>
            <w:r>
              <w:rPr>
                <w:b/>
              </w:rPr>
              <w:t>(4,080</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b/>
              </w:rPr>
            </w:pPr>
            <w:r>
              <w:rPr>
                <w:b/>
              </w:rPr>
              <w:t>$</w:t>
            </w:r>
          </w:p>
        </w:tc>
        <w:tc>
          <w:tcPr>
            <w:tcW w:w="800" w:type="dxa"/>
            <w:tcBorders/>
            <w:vAlign w:val="bottom"/>
          </w:tcPr>
          <w:p>
            <w:pPr>
              <w:pStyle w:val="TableContents"/>
              <w:bidi w:val="0"/>
              <w:spacing w:lineRule="auto" w:line="300" w:before="0" w:after="0"/>
              <w:jc w:val="right"/>
              <w:rPr>
                <w:b/>
              </w:rPr>
            </w:pPr>
            <w:r>
              <w:rPr>
                <w:b/>
              </w:rPr>
              <w:t>(3,505</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b/>
              </w:rPr>
            </w:pPr>
            <w:r>
              <w:rPr>
                <w:b/>
              </w:rPr>
              <w:t>$</w:t>
            </w:r>
          </w:p>
        </w:tc>
        <w:tc>
          <w:tcPr>
            <w:tcW w:w="980" w:type="dxa"/>
            <w:tcBorders/>
            <w:vAlign w:val="bottom"/>
          </w:tcPr>
          <w:p>
            <w:pPr>
              <w:pStyle w:val="TableContents"/>
              <w:bidi w:val="0"/>
              <w:spacing w:lineRule="auto" w:line="300" w:before="0" w:after="0"/>
              <w:jc w:val="right"/>
              <w:rPr>
                <w:b/>
              </w:rPr>
            </w:pPr>
            <w:r>
              <w:rPr>
                <w:b/>
              </w:rPr>
              <w:t>(8,850</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b/>
              </w:rPr>
            </w:pPr>
            <w:r>
              <w:rPr>
                <w:b/>
              </w:rPr>
              <w:t>$</w:t>
            </w:r>
          </w:p>
        </w:tc>
        <w:tc>
          <w:tcPr>
            <w:tcW w:w="800" w:type="dxa"/>
            <w:tcBorders/>
            <w:vAlign w:val="bottom"/>
          </w:tcPr>
          <w:p>
            <w:pPr>
              <w:pStyle w:val="TableContents"/>
              <w:bidi w:val="0"/>
              <w:spacing w:lineRule="auto" w:line="300" w:before="0" w:after="0"/>
              <w:jc w:val="right"/>
              <w:rPr>
                <w:b/>
              </w:rPr>
            </w:pPr>
            <w:r>
              <w:rPr>
                <w:b/>
              </w:rPr>
              <w:t>(8,119</w:t>
            </w:r>
          </w:p>
        </w:tc>
        <w:tc>
          <w:tcPr>
            <w:tcW w:w="110" w:type="dxa"/>
            <w:tcBorders/>
            <w:vAlign w:val="bottom"/>
          </w:tcPr>
          <w:p>
            <w:pPr>
              <w:pStyle w:val="TableContents"/>
              <w:bidi w:val="0"/>
              <w:spacing w:lineRule="auto" w:line="300" w:before="0" w:after="0"/>
              <w:jc w:val="left"/>
              <w:rPr>
                <w:b/>
              </w:rPr>
            </w:pPr>
            <w:r>
              <w:rPr>
                <w:b/>
              </w:rPr>
              <w:t>)</w:t>
            </w:r>
          </w:p>
        </w:tc>
      </w:tr>
      <w:tr>
        <w:trPr/>
        <w:tc>
          <w:tcPr>
            <w:tcW w:w="6200" w:type="dxa"/>
            <w:tcBorders/>
            <w:shd w:fill="CCEEFF" w:val="clear"/>
            <w:vAlign w:val="bottom"/>
          </w:tcPr>
          <w:p>
            <w:pPr>
              <w:pStyle w:val="TableContents"/>
              <w:bidi w:val="0"/>
              <w:spacing w:lineRule="auto" w:line="300"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pPr>
            <w:r>
              <w:rPr/>
              <w:t>Weighted average shares used in computing net loss per share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2,796,621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935,785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pPr>
            <w:r>
              <w:rPr/>
              <w:t>2,210,280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904,881</w:t>
            </w:r>
          </w:p>
        </w:tc>
        <w:tc>
          <w:tcPr>
            <w:tcW w:w="110" w:type="dxa"/>
            <w:tcBorders/>
            <w:vAlign w:val="bottom"/>
          </w:tcPr>
          <w:p>
            <w:pPr>
              <w:pStyle w:val="TableContents"/>
              <w:bidi w:val="0"/>
              <w:spacing w:before="0" w:after="283"/>
              <w:jc w:val="left"/>
              <w:rPr/>
            </w:pPr>
            <w:r>
              <w:rPr/>
              <w:t> </w:t>
            </w:r>
          </w:p>
        </w:tc>
      </w:tr>
      <w:tr>
        <w:trPr/>
        <w:tc>
          <w:tcPr>
            <w:tcW w:w="6200" w:type="dxa"/>
            <w:tcBorders/>
            <w:shd w:fill="CCEEFF" w:val="clear"/>
            <w:vAlign w:val="bottom"/>
          </w:tcPr>
          <w:p>
            <w:pPr>
              <w:pStyle w:val="TableContents"/>
              <w:bidi w:val="0"/>
              <w:spacing w:lineRule="auto" w:line="300"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lineRule="auto" w:line="300" w:before="0" w:after="0"/>
              <w:jc w:val="left"/>
              <w:rPr>
                <w:b/>
              </w:rPr>
            </w:pPr>
            <w:r>
              <w:rPr>
                <w:b/>
              </w:rPr>
              <w:t>Non-GAAP net loss per share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(1.46</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(3.75</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(4.00</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(8.97</w:t>
            </w:r>
          </w:p>
        </w:tc>
        <w:tc>
          <w:tcPr>
            <w:tcW w:w="110" w:type="dxa"/>
            <w:tcBorders/>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All share and per share amounts presented in this note have been retroactively adjusted to reflect the Company’s 1-for-12 reverse share split effected on February 24, 2026.</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0" w:name="zd8df49e6fc384856ab45326f54994fdd"/>
      <w:bookmarkStart w:id="31" w:name="zd8df49e6fc384856ab45326f54994fdd"/>
      <w:bookmarkEnd w:id="31"/>
    </w:p>
    <w:tbl>
      <w:tblPr>
        <w:tblW w:w="13125" w:type="dxa"/>
        <w:jc w:val="left"/>
        <w:tblInd w:w="0" w:type="dxa"/>
        <w:tblLayout w:type="fixed"/>
        <w:tblCellMar>
          <w:top w:w="0" w:type="dxa"/>
          <w:left w:w="0" w:type="dxa"/>
          <w:bottom w:w="0" w:type="dxa"/>
          <w:right w:w="0" w:type="dxa"/>
        </w:tblCellMar>
      </w:tblPr>
      <w:tblGrid>
        <w:gridCol w:w="4250"/>
        <w:gridCol w:w="60"/>
        <w:gridCol w:w="140"/>
        <w:gridCol w:w="635"/>
        <w:gridCol w:w="95"/>
        <w:gridCol w:w="60"/>
        <w:gridCol w:w="86"/>
        <w:gridCol w:w="744"/>
        <w:gridCol w:w="335"/>
        <w:gridCol w:w="60"/>
        <w:gridCol w:w="140"/>
        <w:gridCol w:w="635"/>
        <w:gridCol w:w="95"/>
        <w:gridCol w:w="60"/>
        <w:gridCol w:w="71"/>
        <w:gridCol w:w="759"/>
        <w:gridCol w:w="335"/>
        <w:gridCol w:w="60"/>
        <w:gridCol w:w="140"/>
        <w:gridCol w:w="755"/>
        <w:gridCol w:w="95"/>
        <w:gridCol w:w="60"/>
        <w:gridCol w:w="71"/>
        <w:gridCol w:w="759"/>
        <w:gridCol w:w="335"/>
        <w:gridCol w:w="60"/>
        <w:gridCol w:w="140"/>
        <w:gridCol w:w="755"/>
        <w:gridCol w:w="95"/>
        <w:gridCol w:w="60"/>
        <w:gridCol w:w="71"/>
        <w:gridCol w:w="759"/>
        <w:gridCol w:w="350"/>
      </w:tblGrid>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3915"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55"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w:t>
            </w:r>
          </w:p>
        </w:tc>
        <w:tc>
          <w:tcPr>
            <w:tcW w:w="35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vAlign w:val="bottom"/>
          </w:tcPr>
          <w:p>
            <w:pPr>
              <w:pStyle w:val="TableContents"/>
              <w:bidi w:val="0"/>
              <w:spacing w:lineRule="auto" w:line="300" w:before="0" w:after="0"/>
              <w:jc w:val="center"/>
              <w:rPr>
                <w:b/>
              </w:rPr>
            </w:pPr>
            <w:r>
              <w:rPr>
                <w:b/>
              </w:rPr>
              <w:t>June 30,</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vAlign w:val="bottom"/>
          </w:tcPr>
          <w:p>
            <w:pPr>
              <w:pStyle w:val="TableContents"/>
              <w:bidi w:val="0"/>
              <w:spacing w:lineRule="auto" w:line="300" w:before="0" w:after="0"/>
              <w:jc w:val="center"/>
              <w:rPr>
                <w:b/>
              </w:rPr>
            </w:pPr>
            <w:r>
              <w:rPr>
                <w:b/>
              </w:rPr>
              <w:t>June 30,</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6"/>
            <w:tcBorders/>
            <w:vAlign w:val="bottom"/>
          </w:tcPr>
          <w:p>
            <w:pPr>
              <w:pStyle w:val="TableContents"/>
              <w:bidi w:val="0"/>
              <w:spacing w:lineRule="auto" w:line="300" w:before="0" w:after="0"/>
              <w:jc w:val="center"/>
              <w:rPr>
                <w:b/>
              </w:rPr>
            </w:pPr>
            <w:r>
              <w:rPr>
                <w:b/>
              </w:rPr>
              <w:t>June 30,</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6"/>
            <w:tcBorders/>
            <w:vAlign w:val="bottom"/>
          </w:tcPr>
          <w:p>
            <w:pPr>
              <w:pStyle w:val="TableContents"/>
              <w:bidi w:val="0"/>
              <w:spacing w:lineRule="auto" w:line="300" w:before="0" w:after="0"/>
              <w:jc w:val="center"/>
              <w:rPr>
                <w:b/>
              </w:rPr>
            </w:pPr>
            <w:r>
              <w:rPr>
                <w:b/>
              </w:rPr>
              <w:t>June 30,</w:t>
            </w:r>
          </w:p>
        </w:tc>
        <w:tc>
          <w:tcPr>
            <w:tcW w:w="35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35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i/>
              </w:rPr>
            </w:pPr>
            <w:r>
              <w:rPr>
                <w:i/>
              </w:rPr>
              <w:t>Dollars in thousands</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35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b/>
              </w:rPr>
            </w:pPr>
            <w:r>
              <w:rPr>
                <w:b/>
              </w:rPr>
              <w:t>GAAP operating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635" w:type="dxa"/>
            <w:tcBorders/>
            <w:shd w:fill="CCEEFF" w:val="clear"/>
            <w:vAlign w:val="bottom"/>
          </w:tcPr>
          <w:p>
            <w:pPr>
              <w:pStyle w:val="TableContents"/>
              <w:bidi w:val="0"/>
              <w:spacing w:lineRule="auto" w:line="300" w:before="0" w:after="0"/>
              <w:jc w:val="right"/>
              <w:rPr>
                <w:b/>
              </w:rPr>
            </w:pPr>
            <w:r>
              <w:rPr>
                <w:b/>
              </w:rPr>
              <w:t>(4,152</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lineRule="auto" w:line="300" w:before="0" w:after="0"/>
              <w:jc w:val="right"/>
              <w:rPr>
                <w:b/>
              </w:rPr>
            </w:pPr>
            <w:r>
              <w:rPr>
                <w:b/>
              </w:rPr>
              <w:t>(62.7</w:t>
            </w:r>
          </w:p>
        </w:tc>
        <w:tc>
          <w:tcPr>
            <w:tcW w:w="33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635" w:type="dxa"/>
            <w:tcBorders/>
            <w:shd w:fill="CCEEFF" w:val="clear"/>
            <w:vAlign w:val="bottom"/>
          </w:tcPr>
          <w:p>
            <w:pPr>
              <w:pStyle w:val="TableContents"/>
              <w:bidi w:val="0"/>
              <w:spacing w:lineRule="auto" w:line="300" w:before="0" w:after="0"/>
              <w:jc w:val="right"/>
              <w:rPr>
                <w:b/>
              </w:rPr>
            </w:pPr>
            <w:r>
              <w:rPr>
                <w:b/>
              </w:rPr>
              <w:t>(6,563</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b/>
              </w:rPr>
            </w:pPr>
            <w:r>
              <w:rPr>
                <w:b/>
              </w:rPr>
              <w:t>(114.7</w:t>
            </w:r>
          </w:p>
        </w:tc>
        <w:tc>
          <w:tcPr>
            <w:tcW w:w="33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755" w:type="dxa"/>
            <w:tcBorders/>
            <w:shd w:fill="CCEEFF" w:val="clear"/>
            <w:vAlign w:val="bottom"/>
          </w:tcPr>
          <w:p>
            <w:pPr>
              <w:pStyle w:val="TableContents"/>
              <w:bidi w:val="0"/>
              <w:spacing w:lineRule="auto" w:line="300" w:before="0" w:after="0"/>
              <w:jc w:val="right"/>
              <w:rPr>
                <w:b/>
              </w:rPr>
            </w:pPr>
            <w:r>
              <w:rPr>
                <w:b/>
              </w:rPr>
              <w:t>(14,491</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b/>
              </w:rPr>
            </w:pPr>
            <w:r>
              <w:rPr>
                <w:b/>
              </w:rPr>
              <w:t>(137.4</w:t>
            </w:r>
          </w:p>
        </w:tc>
        <w:tc>
          <w:tcPr>
            <w:tcW w:w="33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755" w:type="dxa"/>
            <w:tcBorders/>
            <w:shd w:fill="CCEEFF" w:val="clear"/>
            <w:vAlign w:val="bottom"/>
          </w:tcPr>
          <w:p>
            <w:pPr>
              <w:pStyle w:val="TableContents"/>
              <w:bidi w:val="0"/>
              <w:spacing w:lineRule="auto" w:line="300" w:before="0" w:after="0"/>
              <w:jc w:val="right"/>
              <w:rPr>
                <w:b/>
              </w:rPr>
            </w:pPr>
            <w:r>
              <w:rPr>
                <w:b/>
              </w:rPr>
              <w:t>(11,416</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b/>
              </w:rPr>
            </w:pPr>
            <w:r>
              <w:rPr>
                <w:b/>
              </w:rPr>
              <w:t>(106.1</w:t>
            </w:r>
          </w:p>
        </w:tc>
        <w:tc>
          <w:tcPr>
            <w:tcW w:w="350" w:type="dxa"/>
            <w:tcBorders/>
            <w:shd w:fill="CCEEFF" w:val="clear"/>
            <w:vAlign w:val="bottom"/>
          </w:tcPr>
          <w:p>
            <w:pPr>
              <w:pStyle w:val="TableContents"/>
              <w:bidi w:val="0"/>
              <w:spacing w:lineRule="auto" w:line="300" w:before="0" w:after="0"/>
              <w:jc w:val="left"/>
              <w:rPr>
                <w:b/>
              </w:rPr>
            </w:pPr>
            <w:r>
              <w:rPr>
                <w:b/>
              </w:rPr>
              <w:t>)%</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pPr>
            <w:r>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lineRule="auto" w:line="300" w:before="0" w:after="0"/>
              <w:jc w:val="right"/>
              <w:rPr/>
            </w:pPr>
            <w:r>
              <w:rPr/>
              <w:t>0.2</w:t>
            </w:r>
          </w:p>
        </w:tc>
        <w:tc>
          <w:tcPr>
            <w:tcW w:w="33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0.1</w:t>
            </w:r>
          </w:p>
        </w:tc>
        <w:tc>
          <w:tcPr>
            <w:tcW w:w="33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w:t>
            </w:r>
          </w:p>
        </w:tc>
        <w:tc>
          <w:tcPr>
            <w:tcW w:w="35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Non-cash acquired in-process R&amp;D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lineRule="auto" w:line="300" w:before="0" w:after="0"/>
              <w:jc w:val="right"/>
              <w:rPr/>
            </w:pPr>
            <w:r>
              <w:rPr/>
              <w:t>-</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pPr>
            <w:r>
              <w:rPr/>
              <w:t>4,947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46.9</w:t>
            </w:r>
          </w:p>
        </w:tc>
        <w:tc>
          <w:tcPr>
            <w:tcW w:w="33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w:t>
            </w:r>
          </w:p>
        </w:tc>
        <w:tc>
          <w:tcPr>
            <w:tcW w:w="35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pPr>
            <w:r>
              <w:rPr/>
              <w:t>Oramed transaction-related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lineRule="auto" w:line="300" w:before="0" w:after="0"/>
              <w:jc w:val="right"/>
              <w:rPr/>
            </w:pPr>
            <w:r>
              <w:rPr/>
              <w:t>-</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619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5.9</w:t>
            </w:r>
          </w:p>
        </w:tc>
        <w:tc>
          <w:tcPr>
            <w:tcW w:w="33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w:t>
            </w:r>
          </w:p>
        </w:tc>
        <w:tc>
          <w:tcPr>
            <w:tcW w:w="35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Other income related to the settlement of the post closing statement for the acquisition of AlterG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pPr>
            <w:r>
              <w:rPr/>
              <w:t>(142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lineRule="auto" w:line="300" w:before="0" w:after="0"/>
              <w:jc w:val="right"/>
              <w:rPr/>
            </w:pPr>
            <w:r>
              <w:rPr/>
              <w:t>(2.1</w:t>
            </w:r>
          </w:p>
        </w:tc>
        <w:tc>
          <w:tcPr>
            <w:tcW w:w="33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pPr>
            <w:r>
              <w:rPr/>
              <w:t>(142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(1.3</w:t>
            </w:r>
          </w:p>
        </w:tc>
        <w:tc>
          <w:tcPr>
            <w:tcW w:w="33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w:t>
            </w:r>
          </w:p>
        </w:tc>
        <w:tc>
          <w:tcPr>
            <w:tcW w:w="35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pPr>
            <w:r>
              <w:rPr/>
              <w:t>Restructuring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244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lineRule="auto" w:line="300" w:before="0" w:after="0"/>
              <w:jc w:val="right"/>
              <w:rPr/>
            </w:pPr>
            <w:r>
              <w:rPr/>
              <w:t>3.7</w:t>
            </w:r>
          </w:p>
        </w:tc>
        <w:tc>
          <w:tcPr>
            <w:tcW w:w="33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12.2</w:t>
            </w:r>
          </w:p>
        </w:tc>
        <w:tc>
          <w:tcPr>
            <w:tcW w:w="33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244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2.3</w:t>
            </w:r>
          </w:p>
        </w:tc>
        <w:tc>
          <w:tcPr>
            <w:tcW w:w="33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6.5</w:t>
            </w:r>
          </w:p>
        </w:tc>
        <w:tc>
          <w:tcPr>
            <w:tcW w:w="350" w:type="dxa"/>
            <w:tcBorders/>
            <w:shd w:fill="CCEEFF" w:val="clear"/>
            <w:vAlign w:val="bottom"/>
          </w:tcPr>
          <w:p>
            <w:pPr>
              <w:pStyle w:val="TableContents"/>
              <w:bidi w:val="0"/>
              <w:spacing w:lineRule="auto" w:line="300" w:before="0" w:after="0"/>
              <w:jc w:val="left"/>
              <w:rPr/>
            </w:pPr>
            <w:r>
              <w:rPr/>
              <w:t>%</w:t>
            </w:r>
          </w:p>
        </w:tc>
      </w:tr>
      <w:tr>
        <w:trPr/>
        <w:tc>
          <w:tcPr>
            <w:tcW w:w="4250" w:type="dxa"/>
            <w:tcBorders/>
            <w:vAlign w:val="bottom"/>
          </w:tcPr>
          <w:p>
            <w:pPr>
              <w:pStyle w:val="TableContents"/>
              <w:bidi w:val="0"/>
              <w:spacing w:lineRule="auto" w:line="300" w:before="0" w:after="0"/>
              <w:jc w:val="left"/>
              <w:rPr/>
            </w:pPr>
            <w:r>
              <w:rPr/>
              <w:t>Remeasurement of earnout liability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lineRule="auto" w:line="300" w:before="0" w:after="0"/>
              <w:jc w:val="right"/>
              <w:rPr/>
            </w:pPr>
            <w:r>
              <w:rPr/>
              <w:t>-</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pPr>
            <w:r>
              <w:rPr/>
              <w:t>(608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(10.6</w:t>
            </w:r>
          </w:p>
        </w:tc>
        <w:tc>
          <w:tcPr>
            <w:tcW w:w="33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pPr>
            <w:r>
              <w:rPr/>
              <w:t>(608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lineRule="auto" w:line="300" w:before="0" w:after="0"/>
              <w:jc w:val="right"/>
              <w:rPr/>
            </w:pPr>
            <w:r>
              <w:rPr/>
              <w:t>(5.7</w:t>
            </w:r>
          </w:p>
        </w:tc>
        <w:tc>
          <w:tcPr>
            <w:tcW w:w="350" w:type="dxa"/>
            <w:tcBorders/>
            <w:vAlign w:val="bottom"/>
          </w:tcPr>
          <w:p>
            <w:pPr>
              <w:pStyle w:val="TableContents"/>
              <w:bidi w:val="0"/>
              <w:spacing w:lineRule="auto" w:line="300" w:before="0" w:after="0"/>
              <w:jc w:val="left"/>
              <w:rPr/>
            </w:pPr>
            <w:r>
              <w:rPr/>
              <w:t>)%</w:t>
            </w:r>
          </w:p>
        </w:tc>
      </w:tr>
      <w:tr>
        <w:trPr/>
        <w:tc>
          <w:tcPr>
            <w:tcW w:w="4250" w:type="dxa"/>
            <w:tcBorders/>
            <w:shd w:fill="CCEEFF" w:val="clear"/>
            <w:vAlign w:val="bottom"/>
          </w:tcPr>
          <w:p>
            <w:pPr>
              <w:pStyle w:val="TableContents"/>
              <w:bidi w:val="0"/>
              <w:spacing w:lineRule="auto" w:line="300" w:before="0" w:after="0"/>
              <w:jc w:val="left"/>
              <w:rPr/>
            </w:pPr>
            <w:r>
              <w:rPr/>
              <w:t>Impairment charges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lineRule="auto" w:line="300" w:before="0" w:after="0"/>
              <w:jc w:val="right"/>
              <w:rPr/>
            </w:pPr>
            <w:r>
              <w:rPr/>
              <w:t>-</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2,783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48.6</w:t>
            </w:r>
          </w:p>
        </w:tc>
        <w:tc>
          <w:tcPr>
            <w:tcW w:w="33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pPr>
            <w:r>
              <w:rPr/>
              <w:t>2,783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lineRule="auto" w:line="300" w:before="0" w:after="0"/>
              <w:jc w:val="right"/>
              <w:rPr/>
            </w:pPr>
            <w:r>
              <w:rPr/>
              <w:t>25.9</w:t>
            </w:r>
          </w:p>
        </w:tc>
        <w:tc>
          <w:tcPr>
            <w:tcW w:w="350" w:type="dxa"/>
            <w:tcBorders/>
            <w:shd w:fill="CCEEFF" w:val="clear"/>
            <w:vAlign w:val="bottom"/>
          </w:tcPr>
          <w:p>
            <w:pPr>
              <w:pStyle w:val="TableContents"/>
              <w:bidi w:val="0"/>
              <w:spacing w:lineRule="auto" w:line="300" w:before="0" w:after="0"/>
              <w:jc w:val="left"/>
              <w:rPr/>
            </w:pPr>
            <w:r>
              <w:rPr/>
              <w:t>%</w:t>
            </w:r>
          </w:p>
        </w:tc>
      </w:tr>
      <w:tr>
        <w:trPr/>
        <w:tc>
          <w:tcPr>
            <w:tcW w:w="4250" w:type="dxa"/>
            <w:tcBorders/>
            <w:vAlign w:val="bottom"/>
          </w:tcPr>
          <w:p>
            <w:pPr>
              <w:pStyle w:val="TableContents"/>
              <w:bidi w:val="0"/>
              <w:spacing w:lineRule="auto" w:line="300" w:before="0" w:after="0"/>
              <w:jc w:val="left"/>
              <w:rPr/>
            </w:pPr>
            <w:r>
              <w:rPr/>
              <w:t>Stock-based compensation expenses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lineRule="auto" w:line="300" w:before="0" w:after="0"/>
              <w:jc w:val="right"/>
              <w:rPr/>
            </w:pPr>
            <w:r>
              <w:rPr/>
              <w:t>262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tcMar>
              <w:bottom w:w="28" w:type="dxa"/>
            </w:tcMar>
            <w:vAlign w:val="bottom"/>
          </w:tcPr>
          <w:p>
            <w:pPr>
              <w:pStyle w:val="TableContents"/>
              <w:bidi w:val="0"/>
              <w:spacing w:lineRule="auto" w:line="300" w:before="0" w:after="0"/>
              <w:jc w:val="right"/>
              <w:rPr/>
            </w:pPr>
            <w:r>
              <w:rPr/>
              <w:t>4.0</w:t>
            </w:r>
          </w:p>
        </w:tc>
        <w:tc>
          <w:tcPr>
            <w:tcW w:w="33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lineRule="auto" w:line="300" w:before="0" w:after="0"/>
              <w:jc w:val="right"/>
              <w:rPr/>
            </w:pPr>
            <w:r>
              <w:rPr/>
              <w:t>182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59" w:type="dxa"/>
            <w:tcBorders>
              <w:bottom w:val="single" w:sz="12" w:space="0" w:color="000000"/>
            </w:tcBorders>
            <w:tcMar>
              <w:bottom w:w="28" w:type="dxa"/>
            </w:tcMar>
            <w:vAlign w:val="bottom"/>
          </w:tcPr>
          <w:p>
            <w:pPr>
              <w:pStyle w:val="TableContents"/>
              <w:bidi w:val="0"/>
              <w:spacing w:lineRule="auto" w:line="300" w:before="0" w:after="0"/>
              <w:jc w:val="right"/>
              <w:rPr/>
            </w:pPr>
            <w:r>
              <w:rPr/>
              <w:t>3.2</w:t>
            </w:r>
          </w:p>
        </w:tc>
        <w:tc>
          <w:tcPr>
            <w:tcW w:w="33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pPr>
            <w:r>
              <w:rPr/>
              <w:t>439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59" w:type="dxa"/>
            <w:tcBorders>
              <w:bottom w:val="single" w:sz="12" w:space="0" w:color="000000"/>
            </w:tcBorders>
            <w:tcMar>
              <w:bottom w:w="28" w:type="dxa"/>
            </w:tcMar>
            <w:vAlign w:val="bottom"/>
          </w:tcPr>
          <w:p>
            <w:pPr>
              <w:pStyle w:val="TableContents"/>
              <w:bidi w:val="0"/>
              <w:spacing w:lineRule="auto" w:line="300" w:before="0" w:after="0"/>
              <w:jc w:val="right"/>
              <w:rPr/>
            </w:pPr>
            <w:r>
              <w:rPr/>
              <w:t>4.2</w:t>
            </w:r>
          </w:p>
        </w:tc>
        <w:tc>
          <w:tcPr>
            <w:tcW w:w="33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pPr>
            <w:r>
              <w:rPr/>
              <w:t>402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59" w:type="dxa"/>
            <w:tcBorders>
              <w:bottom w:val="single" w:sz="12" w:space="0" w:color="000000"/>
            </w:tcBorders>
            <w:tcMar>
              <w:bottom w:w="28" w:type="dxa"/>
            </w:tcMar>
            <w:vAlign w:val="bottom"/>
          </w:tcPr>
          <w:p>
            <w:pPr>
              <w:pStyle w:val="TableContents"/>
              <w:bidi w:val="0"/>
              <w:spacing w:lineRule="auto" w:line="300" w:before="0" w:after="0"/>
              <w:jc w:val="right"/>
              <w:rPr/>
            </w:pPr>
            <w:r>
              <w:rPr/>
              <w:t>3.7</w:t>
            </w:r>
          </w:p>
        </w:tc>
        <w:tc>
          <w:tcPr>
            <w:tcW w:w="350" w:type="dxa"/>
            <w:tcBorders/>
            <w:vAlign w:val="bottom"/>
          </w:tcPr>
          <w:p>
            <w:pPr>
              <w:pStyle w:val="TableContents"/>
              <w:bidi w:val="0"/>
              <w:spacing w:lineRule="auto" w:line="300" w:before="0" w:after="0"/>
              <w:jc w:val="left"/>
              <w:rPr/>
            </w:pPr>
            <w:r>
              <w:rPr/>
              <w:t>%</w:t>
            </w:r>
          </w:p>
        </w:tc>
      </w:tr>
      <w:tr>
        <w:trPr/>
        <w:tc>
          <w:tcPr>
            <w:tcW w:w="4250" w:type="dxa"/>
            <w:tcBorders/>
            <w:shd w:fill="CCEEFF" w:val="clear"/>
            <w:vAlign w:val="bottom"/>
          </w:tcPr>
          <w:p>
            <w:pPr>
              <w:pStyle w:val="TableContents"/>
              <w:bidi w:val="0"/>
              <w:spacing w:lineRule="auto" w:line="300"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b/>
              </w:rPr>
            </w:pPr>
            <w:r>
              <w:rPr>
                <w:b/>
              </w:rPr>
              <w:t>Non-GAAP operating loss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(3,778</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86" w:type="dxa"/>
            <w:tcBorders>
              <w:bottom w:val="double" w:sz="8" w:space="0" w:color="000000"/>
            </w:tcBorders>
            <w:tcMar>
              <w:bottom w:w="28" w:type="dxa"/>
            </w:tcMar>
            <w:vAlign w:val="bottom"/>
          </w:tcPr>
          <w:p>
            <w:pPr>
              <w:pStyle w:val="TableContents"/>
              <w:bidi w:val="0"/>
              <w:spacing w:before="0" w:after="283"/>
              <w:jc w:val="left"/>
              <w:rPr/>
            </w:pPr>
            <w:r>
              <w:rPr/>
              <w:t> </w:t>
            </w:r>
          </w:p>
        </w:tc>
        <w:tc>
          <w:tcPr>
            <w:tcW w:w="744"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(56.9</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(3,506</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75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(61.3</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75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(8,374</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75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(79.3</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75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(8,139</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75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(75.7</w:t>
            </w:r>
          </w:p>
        </w:tc>
        <w:tc>
          <w:tcPr>
            <w:tcW w:w="350" w:type="dxa"/>
            <w:tcBorders/>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2" w:name="z2cc87d6300384c65bea8da2312b1d430"/>
      <w:bookmarkStart w:id="33" w:name="z2cc87d6300384c65bea8da2312b1d430"/>
      <w:bookmarkEnd w:id="33"/>
    </w:p>
    <w:tbl>
      <w:tblPr>
        <w:tblW w:w="11365" w:type="dxa"/>
        <w:jc w:val="left"/>
        <w:tblInd w:w="0" w:type="dxa"/>
        <w:tblLayout w:type="fixed"/>
        <w:tblCellMar>
          <w:top w:w="0" w:type="dxa"/>
          <w:left w:w="0" w:type="dxa"/>
          <w:bottom w:w="0" w:type="dxa"/>
          <w:right w:w="0" w:type="dxa"/>
        </w:tblCellMar>
      </w:tblPr>
      <w:tblGrid>
        <w:gridCol w:w="3470"/>
        <w:gridCol w:w="60"/>
        <w:gridCol w:w="140"/>
        <w:gridCol w:w="560"/>
        <w:gridCol w:w="60"/>
        <w:gridCol w:w="60"/>
        <w:gridCol w:w="99"/>
        <w:gridCol w:w="731"/>
        <w:gridCol w:w="260"/>
        <w:gridCol w:w="60"/>
        <w:gridCol w:w="140"/>
        <w:gridCol w:w="560"/>
        <w:gridCol w:w="60"/>
        <w:gridCol w:w="60"/>
        <w:gridCol w:w="99"/>
        <w:gridCol w:w="731"/>
        <w:gridCol w:w="260"/>
        <w:gridCol w:w="60"/>
        <w:gridCol w:w="140"/>
        <w:gridCol w:w="560"/>
        <w:gridCol w:w="60"/>
        <w:gridCol w:w="60"/>
        <w:gridCol w:w="99"/>
        <w:gridCol w:w="731"/>
        <w:gridCol w:w="260"/>
        <w:gridCol w:w="60"/>
        <w:gridCol w:w="140"/>
        <w:gridCol w:w="560"/>
        <w:gridCol w:w="60"/>
        <w:gridCol w:w="60"/>
        <w:gridCol w:w="99"/>
        <w:gridCol w:w="731"/>
        <w:gridCol w:w="275"/>
      </w:tblGrid>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3620"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0"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w:t>
            </w:r>
          </w:p>
        </w:tc>
        <w:tc>
          <w:tcPr>
            <w:tcW w:w="2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vAlign w:val="bottom"/>
          </w:tcPr>
          <w:p>
            <w:pPr>
              <w:pStyle w:val="TableContents"/>
              <w:bidi w:val="0"/>
              <w:spacing w:lineRule="auto" w:line="300" w:before="0" w:after="0"/>
              <w:jc w:val="center"/>
              <w:rPr>
                <w:b/>
              </w:rPr>
            </w:pPr>
            <w:r>
              <w:rPr>
                <w:b/>
              </w:rPr>
              <w:t>June 30,</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vAlign w:val="bottom"/>
          </w:tcPr>
          <w:p>
            <w:pPr>
              <w:pStyle w:val="TableContents"/>
              <w:bidi w:val="0"/>
              <w:spacing w:lineRule="auto" w:line="300" w:before="0" w:after="0"/>
              <w:jc w:val="center"/>
              <w:rPr>
                <w:b/>
              </w:rPr>
            </w:pPr>
            <w:r>
              <w:rPr>
                <w:b/>
              </w:rPr>
              <w:t>June 30,</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vAlign w:val="bottom"/>
          </w:tcPr>
          <w:p>
            <w:pPr>
              <w:pStyle w:val="TableContents"/>
              <w:bidi w:val="0"/>
              <w:spacing w:lineRule="auto" w:line="300" w:before="0" w:after="0"/>
              <w:jc w:val="center"/>
              <w:rPr>
                <w:b/>
              </w:rPr>
            </w:pPr>
            <w:r>
              <w:rPr>
                <w:b/>
              </w:rPr>
              <w:t>June 30,</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vAlign w:val="bottom"/>
          </w:tcPr>
          <w:p>
            <w:pPr>
              <w:pStyle w:val="TableContents"/>
              <w:bidi w:val="0"/>
              <w:spacing w:lineRule="auto" w:line="300" w:before="0" w:after="0"/>
              <w:jc w:val="center"/>
              <w:rPr>
                <w:b/>
              </w:rPr>
            </w:pPr>
            <w:r>
              <w:rPr>
                <w:b/>
              </w:rPr>
              <w:t>June 30,</w:t>
            </w:r>
          </w:p>
        </w:tc>
        <w:tc>
          <w:tcPr>
            <w:tcW w:w="2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i/>
              </w:rPr>
            </w:pPr>
            <w:r>
              <w:rPr>
                <w:i/>
              </w:rPr>
              <w:t>Dollars in thousands</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lineRule="auto" w:line="300" w:before="0" w:after="0"/>
              <w:jc w:val="left"/>
              <w:rPr>
                <w:b/>
              </w:rPr>
            </w:pPr>
            <w:r>
              <w:rPr>
                <w:b/>
              </w:rPr>
              <w:t>GAAP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2,709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40.9</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2,511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43.9</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4,051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38.4</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4,633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43.1</w:t>
            </w:r>
          </w:p>
        </w:tc>
        <w:tc>
          <w:tcPr>
            <w:tcW w:w="275" w:type="dxa"/>
            <w:tcBorders/>
            <w:shd w:fill="CCEEFF" w:val="clear"/>
            <w:vAlign w:val="bottom"/>
          </w:tcPr>
          <w:p>
            <w:pPr>
              <w:pStyle w:val="TableContents"/>
              <w:bidi w:val="0"/>
              <w:spacing w:lineRule="auto" w:line="300" w:before="0" w:after="0"/>
              <w:jc w:val="left"/>
              <w:rPr>
                <w:b/>
              </w:rPr>
            </w:pPr>
            <w:r>
              <w:rPr>
                <w:b/>
              </w:rPr>
              <w:t>%</w:t>
            </w:r>
          </w:p>
        </w:tc>
      </w:tr>
      <w:tr>
        <w:trPr/>
        <w:tc>
          <w:tcPr>
            <w:tcW w:w="3470" w:type="dxa"/>
            <w:tcBorders/>
            <w:vAlign w:val="bottom"/>
          </w:tcPr>
          <w:p>
            <w:pPr>
              <w:pStyle w:val="TableContents"/>
              <w:bidi w:val="0"/>
              <w:spacing w:lineRule="auto" w:line="300" w:before="0" w:after="0"/>
              <w:jc w:val="left"/>
              <w:rPr>
                <w:i/>
              </w:rPr>
            </w:pPr>
            <w:r>
              <w:rPr>
                <w:i/>
              </w:rPr>
              <w:t>Adjustments: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lineRule="auto" w:line="300" w:before="0" w:after="0"/>
              <w:jc w:val="left"/>
              <w:rPr/>
            </w:pPr>
            <w:r>
              <w:rPr/>
              <w:t>Stock-based compensation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0.1</w:t>
            </w:r>
          </w:p>
        </w:tc>
        <w:tc>
          <w:tcPr>
            <w:tcW w:w="26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0.1</w:t>
            </w:r>
          </w:p>
        </w:tc>
        <w:tc>
          <w:tcPr>
            <w:tcW w:w="26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0.1</w:t>
            </w:r>
          </w:p>
        </w:tc>
        <w:tc>
          <w:tcPr>
            <w:tcW w:w="275" w:type="dxa"/>
            <w:tcBorders/>
            <w:shd w:fill="CCEEFF" w:val="clear"/>
            <w:vAlign w:val="bottom"/>
          </w:tcPr>
          <w:p>
            <w:pPr>
              <w:pStyle w:val="TableContents"/>
              <w:bidi w:val="0"/>
              <w:spacing w:lineRule="auto" w:line="300" w:before="0" w:after="0"/>
              <w:jc w:val="left"/>
              <w:rPr/>
            </w:pPr>
            <w:r>
              <w:rPr/>
              <w:t>%</w:t>
            </w:r>
          </w:p>
        </w:tc>
      </w:tr>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lineRule="auto" w:line="300" w:before="0" w:after="0"/>
              <w:jc w:val="left"/>
              <w:rPr>
                <w:b/>
              </w:rPr>
            </w:pPr>
            <w:r>
              <w:rPr>
                <w:b/>
              </w:rPr>
              <w:t>Non-GAAP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40.9</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44.0</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38.5</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43.2</w:t>
            </w:r>
          </w:p>
        </w:tc>
        <w:tc>
          <w:tcPr>
            <w:tcW w:w="275" w:type="dxa"/>
            <w:tcBorders/>
            <w:shd w:fill="CCEEFF" w:val="clear"/>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4" w:name="z49d214450b2e4d8c889c2a99a5c06689"/>
      <w:bookmarkStart w:id="35" w:name="z49d214450b2e4d8c889c2a99a5c06689"/>
      <w:bookmarkEnd w:id="35"/>
    </w:p>
    <w:tbl>
      <w:tblPr>
        <w:tblW w:w="12300" w:type="dxa"/>
        <w:jc w:val="left"/>
        <w:tblInd w:w="0" w:type="dxa"/>
        <w:tblLayout w:type="fixed"/>
        <w:tblCellMar>
          <w:top w:w="0" w:type="dxa"/>
          <w:left w:w="0" w:type="dxa"/>
          <w:bottom w:w="0" w:type="dxa"/>
          <w:right w:w="0" w:type="dxa"/>
        </w:tblCellMar>
      </w:tblPr>
      <w:tblGrid>
        <w:gridCol w:w="4250"/>
        <w:gridCol w:w="60"/>
        <w:gridCol w:w="140"/>
        <w:gridCol w:w="560"/>
        <w:gridCol w:w="95"/>
        <w:gridCol w:w="60"/>
        <w:gridCol w:w="99"/>
        <w:gridCol w:w="731"/>
        <w:gridCol w:w="290"/>
        <w:gridCol w:w="60"/>
        <w:gridCol w:w="140"/>
        <w:gridCol w:w="380"/>
        <w:gridCol w:w="95"/>
        <w:gridCol w:w="60"/>
        <w:gridCol w:w="99"/>
        <w:gridCol w:w="731"/>
        <w:gridCol w:w="290"/>
        <w:gridCol w:w="60"/>
        <w:gridCol w:w="140"/>
        <w:gridCol w:w="635"/>
        <w:gridCol w:w="95"/>
        <w:gridCol w:w="60"/>
        <w:gridCol w:w="86"/>
        <w:gridCol w:w="744"/>
        <w:gridCol w:w="290"/>
        <w:gridCol w:w="60"/>
        <w:gridCol w:w="140"/>
        <w:gridCol w:w="560"/>
        <w:gridCol w:w="95"/>
        <w:gridCol w:w="60"/>
        <w:gridCol w:w="99"/>
        <w:gridCol w:w="731"/>
        <w:gridCol w:w="305"/>
      </w:tblGrid>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3540"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5"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w:t>
            </w:r>
          </w:p>
        </w:tc>
        <w:tc>
          <w:tcPr>
            <w:tcW w:w="305"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305"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305"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i/>
              </w:rPr>
            </w:pPr>
            <w:r>
              <w:rPr>
                <w:i/>
              </w:rPr>
              <w:t>Dollars in thousands</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305"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b/>
              </w:rPr>
            </w:pPr>
            <w:r>
              <w:rPr>
                <w:b/>
              </w:rPr>
              <w:t>GAAP research &amp; development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1,754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26.5</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380" w:type="dxa"/>
            <w:tcBorders/>
            <w:shd w:fill="CCEEFF" w:val="clear"/>
            <w:vAlign w:val="bottom"/>
          </w:tcPr>
          <w:p>
            <w:pPr>
              <w:pStyle w:val="TableContents"/>
              <w:bidi w:val="0"/>
              <w:spacing w:lineRule="auto" w:line="300" w:before="0" w:after="0"/>
              <w:jc w:val="right"/>
              <w:rPr>
                <w:b/>
              </w:rPr>
            </w:pPr>
            <w:r>
              <w:rPr>
                <w:b/>
              </w:rPr>
              <w:t>767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13.4</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635" w:type="dxa"/>
            <w:tcBorders/>
            <w:shd w:fill="CCEEFF" w:val="clear"/>
            <w:vAlign w:val="bottom"/>
          </w:tcPr>
          <w:p>
            <w:pPr>
              <w:pStyle w:val="TableContents"/>
              <w:bidi w:val="0"/>
              <w:spacing w:lineRule="auto" w:line="300" w:before="0" w:after="0"/>
              <w:jc w:val="right"/>
              <w:rPr>
                <w:b/>
              </w:rPr>
            </w:pPr>
            <w:r>
              <w:rPr>
                <w:b/>
              </w:rPr>
              <w:t>7,599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lineRule="auto" w:line="300" w:before="0" w:after="0"/>
              <w:jc w:val="right"/>
              <w:rPr>
                <w:b/>
              </w:rPr>
            </w:pPr>
            <w:r>
              <w:rPr>
                <w:b/>
              </w:rPr>
              <w:t>72.1</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1,685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15.7</w:t>
            </w:r>
          </w:p>
        </w:tc>
        <w:tc>
          <w:tcPr>
            <w:tcW w:w="305" w:type="dxa"/>
            <w:tcBorders/>
            <w:shd w:fill="CCEEFF" w:val="clear"/>
            <w:vAlign w:val="bottom"/>
          </w:tcPr>
          <w:p>
            <w:pPr>
              <w:pStyle w:val="TableContents"/>
              <w:bidi w:val="0"/>
              <w:spacing w:lineRule="auto" w:line="300" w:before="0" w:after="0"/>
              <w:jc w:val="left"/>
              <w:rPr>
                <w:b/>
              </w:rPr>
            </w:pPr>
            <w:r>
              <w:rPr>
                <w:b/>
              </w:rPr>
              <w:t>%</w:t>
            </w:r>
          </w:p>
        </w:tc>
      </w:tr>
      <w:tr>
        <w:trPr/>
        <w:tc>
          <w:tcPr>
            <w:tcW w:w="4250" w:type="dxa"/>
            <w:tcBorders/>
            <w:vAlign w:val="bottom"/>
          </w:tcPr>
          <w:p>
            <w:pPr>
              <w:pStyle w:val="TableContents"/>
              <w:bidi w:val="0"/>
              <w:spacing w:lineRule="auto" w:line="300" w:before="0" w:after="0"/>
              <w:jc w:val="left"/>
              <w:rPr>
                <w:i/>
              </w:rPr>
            </w:pPr>
            <w:r>
              <w:rPr>
                <w:i/>
              </w:rPr>
              <w:t>Adjustments: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pPr>
            <w:r>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(10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(0.2</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lineRule="auto" w:line="300" w:before="0" w:after="0"/>
              <w:jc w:val="right"/>
              <w:rPr/>
            </w:pPr>
            <w:r>
              <w:rPr/>
              <w:t>(10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lineRule="auto" w:line="300" w:before="0" w:after="0"/>
              <w:jc w:val="right"/>
              <w:rPr/>
            </w:pPr>
            <w:r>
              <w:rPr/>
              <w:t>(0.1</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w:t>
            </w:r>
          </w:p>
        </w:tc>
        <w:tc>
          <w:tcPr>
            <w:tcW w:w="305"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lineRule="auto" w:line="300" w:before="0" w:after="0"/>
              <w:jc w:val="left"/>
              <w:rPr/>
            </w:pPr>
            <w:r>
              <w:rPr/>
              <w:t>Non-cash acquired in-process R&amp;D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pPr>
            <w:r>
              <w:rPr/>
              <w:t>(4,947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lineRule="auto" w:line="300" w:before="0" w:after="0"/>
              <w:jc w:val="right"/>
              <w:rPr/>
            </w:pPr>
            <w:r>
              <w:rPr/>
              <w:t>(46.9</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305"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pPr>
            <w:r>
              <w:rPr/>
              <w:t>Stock-based compensation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(0.6</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(0.6</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(74</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(0.7</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(0.7</w:t>
            </w:r>
          </w:p>
        </w:tc>
        <w:tc>
          <w:tcPr>
            <w:tcW w:w="305" w:type="dxa"/>
            <w:tcBorders/>
            <w:shd w:fill="CCEEFF" w:val="clear"/>
            <w:vAlign w:val="bottom"/>
          </w:tcPr>
          <w:p>
            <w:pPr>
              <w:pStyle w:val="TableContents"/>
              <w:bidi w:val="0"/>
              <w:spacing w:lineRule="auto" w:line="300" w:before="0" w:after="0"/>
              <w:jc w:val="left"/>
              <w:rPr/>
            </w:pPr>
            <w:r>
              <w:rPr/>
              <w:t>)%</w:t>
            </w:r>
          </w:p>
        </w:tc>
      </w:tr>
      <w:tr>
        <w:trPr/>
        <w:tc>
          <w:tcPr>
            <w:tcW w:w="425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300" w:before="0" w:after="0"/>
              <w:jc w:val="left"/>
              <w:rPr>
                <w:b/>
              </w:rPr>
            </w:pPr>
            <w:r>
              <w:rPr>
                <w:b/>
              </w:rPr>
              <w:t>Non-GAAP research &amp; development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1,707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25.7</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3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730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12.8</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2,568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4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24.4</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1,612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15.0</w:t>
            </w:r>
          </w:p>
        </w:tc>
        <w:tc>
          <w:tcPr>
            <w:tcW w:w="305" w:type="dxa"/>
            <w:tcBorders/>
            <w:shd w:fill="CCEEFF" w:val="clear"/>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6" w:name="ze6e4d7e1f4e54455acc2772d3d871d58"/>
      <w:bookmarkStart w:id="37" w:name="ze6e4d7e1f4e54455acc2772d3d871d58"/>
      <w:bookmarkEnd w:id="37"/>
    </w:p>
    <w:tbl>
      <w:tblPr>
        <w:tblW w:w="11625" w:type="dxa"/>
        <w:jc w:val="left"/>
        <w:tblInd w:w="0" w:type="dxa"/>
        <w:tblLayout w:type="fixed"/>
        <w:tblCellMar>
          <w:top w:w="0" w:type="dxa"/>
          <w:left w:w="0" w:type="dxa"/>
          <w:bottom w:w="0" w:type="dxa"/>
          <w:right w:w="0" w:type="dxa"/>
        </w:tblCellMar>
      </w:tblPr>
      <w:tblGrid>
        <w:gridCol w:w="3470"/>
        <w:gridCol w:w="60"/>
        <w:gridCol w:w="140"/>
        <w:gridCol w:w="560"/>
        <w:gridCol w:w="95"/>
        <w:gridCol w:w="60"/>
        <w:gridCol w:w="99"/>
        <w:gridCol w:w="731"/>
        <w:gridCol w:w="290"/>
        <w:gridCol w:w="60"/>
        <w:gridCol w:w="140"/>
        <w:gridCol w:w="560"/>
        <w:gridCol w:w="95"/>
        <w:gridCol w:w="60"/>
        <w:gridCol w:w="99"/>
        <w:gridCol w:w="731"/>
        <w:gridCol w:w="290"/>
        <w:gridCol w:w="60"/>
        <w:gridCol w:w="140"/>
        <w:gridCol w:w="560"/>
        <w:gridCol w:w="95"/>
        <w:gridCol w:w="60"/>
        <w:gridCol w:w="99"/>
        <w:gridCol w:w="731"/>
        <w:gridCol w:w="290"/>
        <w:gridCol w:w="60"/>
        <w:gridCol w:w="140"/>
        <w:gridCol w:w="560"/>
        <w:gridCol w:w="95"/>
        <w:gridCol w:w="60"/>
        <w:gridCol w:w="99"/>
        <w:gridCol w:w="731"/>
        <w:gridCol w:w="305"/>
      </w:tblGrid>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3720"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0"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w:t>
            </w:r>
          </w:p>
        </w:tc>
        <w:tc>
          <w:tcPr>
            <w:tcW w:w="30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30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30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i/>
              </w:rPr>
            </w:pPr>
            <w:r>
              <w:rPr>
                <w:i/>
              </w:rPr>
              <w:t>Dollars in thousands</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left"/>
              <w:rPr>
                <w:b/>
              </w:rPr>
            </w:pPr>
            <w:r>
              <w:rPr>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30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lineRule="auto" w:line="300" w:before="0" w:after="0"/>
              <w:jc w:val="left"/>
              <w:rPr>
                <w:b/>
              </w:rPr>
            </w:pPr>
            <w:r>
              <w:rPr>
                <w:b/>
              </w:rPr>
              <w:t>GAAP sales &amp; marketing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3,531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53.3</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3,785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66.1</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6,802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64.5</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7,622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70.8</w:t>
            </w:r>
          </w:p>
        </w:tc>
        <w:tc>
          <w:tcPr>
            <w:tcW w:w="305" w:type="dxa"/>
            <w:tcBorders/>
            <w:shd w:fill="CCEEFF" w:val="clear"/>
            <w:vAlign w:val="bottom"/>
          </w:tcPr>
          <w:p>
            <w:pPr>
              <w:pStyle w:val="TableContents"/>
              <w:bidi w:val="0"/>
              <w:spacing w:lineRule="auto" w:line="300" w:before="0" w:after="0"/>
              <w:jc w:val="left"/>
              <w:rPr>
                <w:b/>
              </w:rPr>
            </w:pPr>
            <w:r>
              <w:rPr>
                <w:b/>
              </w:rPr>
              <w:t>%</w:t>
            </w:r>
          </w:p>
        </w:tc>
      </w:tr>
      <w:tr>
        <w:trPr/>
        <w:tc>
          <w:tcPr>
            <w:tcW w:w="3470" w:type="dxa"/>
            <w:tcBorders/>
            <w:vAlign w:val="bottom"/>
          </w:tcPr>
          <w:p>
            <w:pPr>
              <w:pStyle w:val="TableContents"/>
              <w:bidi w:val="0"/>
              <w:spacing w:lineRule="auto" w:line="300" w:before="0" w:after="0"/>
              <w:jc w:val="left"/>
              <w:rPr>
                <w:i/>
              </w:rPr>
            </w:pPr>
            <w:r>
              <w:rPr>
                <w:i/>
              </w:rPr>
              <w:t>Adjustments: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lineRule="auto" w:line="300" w:before="0" w:after="0"/>
              <w:jc w:val="left"/>
              <w:rPr/>
            </w:pPr>
            <w:r>
              <w:rPr/>
              <w:t>Restructuring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(244</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(3.7</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(277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(4.8</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(244</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(2.3</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(277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(2.6</w:t>
            </w:r>
          </w:p>
        </w:tc>
        <w:tc>
          <w:tcPr>
            <w:tcW w:w="305" w:type="dxa"/>
            <w:tcBorders/>
            <w:shd w:fill="CCEEFF" w:val="clear"/>
            <w:vAlign w:val="bottom"/>
          </w:tcPr>
          <w:p>
            <w:pPr>
              <w:pStyle w:val="TableContents"/>
              <w:bidi w:val="0"/>
              <w:spacing w:lineRule="auto" w:line="300" w:before="0" w:after="0"/>
              <w:jc w:val="left"/>
              <w:rPr/>
            </w:pPr>
            <w:r>
              <w:rPr/>
              <w:t>)%</w:t>
            </w:r>
          </w:p>
        </w:tc>
      </w:tr>
      <w:tr>
        <w:trPr/>
        <w:tc>
          <w:tcPr>
            <w:tcW w:w="3470" w:type="dxa"/>
            <w:tcBorders/>
            <w:vAlign w:val="bottom"/>
          </w:tcPr>
          <w:p>
            <w:pPr>
              <w:pStyle w:val="TableContents"/>
              <w:bidi w:val="0"/>
              <w:spacing w:lineRule="auto" w:line="300" w:before="0" w:after="0"/>
              <w:jc w:val="left"/>
              <w:rPr/>
            </w:pPr>
            <w:r>
              <w:rPr/>
              <w:t>Stock-based compensation expenses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lineRule="auto" w:line="300" w:before="0" w:after="0"/>
              <w:jc w:val="right"/>
              <w:rPr/>
            </w:pPr>
            <w:r>
              <w:rPr/>
              <w:t>(5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lineRule="auto" w:line="300" w:before="0" w:after="0"/>
              <w:jc w:val="right"/>
              <w:rPr/>
            </w:pPr>
            <w:r>
              <w:rPr/>
              <w:t>(0.1</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lineRule="auto" w:line="300" w:before="0" w:after="0"/>
              <w:jc w:val="right"/>
              <w:rPr/>
            </w:pPr>
            <w:r>
              <w:rPr/>
              <w:t>(56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lineRule="auto" w:line="300" w:before="0" w:after="0"/>
              <w:jc w:val="right"/>
              <w:rPr/>
            </w:pPr>
            <w:r>
              <w:rPr/>
              <w:t>(1.0</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lineRule="auto" w:line="300" w:before="0" w:after="0"/>
              <w:jc w:val="right"/>
              <w:rPr/>
            </w:pPr>
            <w:r>
              <w:rPr/>
              <w:t>(63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lineRule="auto" w:line="300" w:before="0" w:after="0"/>
              <w:jc w:val="right"/>
              <w:rPr/>
            </w:pPr>
            <w:r>
              <w:rPr/>
              <w:t>(0.6</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lineRule="auto" w:line="300" w:before="0" w:after="0"/>
              <w:jc w:val="right"/>
              <w:rPr/>
            </w:pPr>
            <w:r>
              <w:rPr/>
              <w:t>(138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lineRule="auto" w:line="300" w:before="0" w:after="0"/>
              <w:jc w:val="right"/>
              <w:rPr/>
            </w:pPr>
            <w:r>
              <w:rPr/>
              <w:t>(1.3</w:t>
            </w:r>
          </w:p>
        </w:tc>
        <w:tc>
          <w:tcPr>
            <w:tcW w:w="305" w:type="dxa"/>
            <w:tcBorders/>
            <w:vAlign w:val="bottom"/>
          </w:tcPr>
          <w:p>
            <w:pPr>
              <w:pStyle w:val="TableContents"/>
              <w:bidi w:val="0"/>
              <w:spacing w:lineRule="auto" w:line="300" w:before="0" w:after="0"/>
              <w:jc w:val="left"/>
              <w:rPr/>
            </w:pPr>
            <w:r>
              <w:rPr/>
              <w:t>)%</w:t>
            </w:r>
          </w:p>
        </w:tc>
      </w:tr>
      <w:tr>
        <w:trPr/>
        <w:tc>
          <w:tcPr>
            <w:tcW w:w="3470" w:type="dxa"/>
            <w:tcBorders/>
            <w:shd w:fill="CCEEFF" w:val="clear"/>
            <w:vAlign w:val="bottom"/>
          </w:tcPr>
          <w:p>
            <w:pPr>
              <w:pStyle w:val="TableContents"/>
              <w:bidi w:val="0"/>
              <w:spacing w:lineRule="auto" w:line="300"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lineRule="auto" w:line="300" w:before="0" w:after="0"/>
              <w:jc w:val="left"/>
              <w:rPr>
                <w:b/>
              </w:rPr>
            </w:pPr>
            <w:r>
              <w:rPr>
                <w:b/>
              </w:rPr>
              <w:t>Non-GAAP sales &amp; marketing</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3,282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bottom w:val="double" w:sz="8" w:space="0" w:color="000000"/>
            </w:tcBorders>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49.5</w:t>
            </w:r>
          </w:p>
        </w:tc>
        <w:tc>
          <w:tcPr>
            <w:tcW w:w="29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3,452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bottom w:val="double" w:sz="8" w:space="0" w:color="000000"/>
            </w:tcBorders>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60.3</w:t>
            </w:r>
          </w:p>
        </w:tc>
        <w:tc>
          <w:tcPr>
            <w:tcW w:w="29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6,495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bottom w:val="double" w:sz="8" w:space="0" w:color="000000"/>
            </w:tcBorders>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61.6</w:t>
            </w:r>
          </w:p>
        </w:tc>
        <w:tc>
          <w:tcPr>
            <w:tcW w:w="29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7,207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bottom w:val="double" w:sz="8" w:space="0" w:color="000000"/>
            </w:tcBorders>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66.9</w:t>
            </w:r>
          </w:p>
        </w:tc>
        <w:tc>
          <w:tcPr>
            <w:tcW w:w="305" w:type="dxa"/>
            <w:tcBorders/>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8" w:name="zaed8ec11f1944a88824fcc2325dc50e6"/>
      <w:bookmarkStart w:id="39" w:name="zaed8ec11f1944a88824fcc2325dc50e6"/>
      <w:bookmarkEnd w:id="39"/>
    </w:p>
    <w:tbl>
      <w:tblPr>
        <w:tblW w:w="11970" w:type="dxa"/>
        <w:jc w:val="left"/>
        <w:tblInd w:w="0" w:type="dxa"/>
        <w:tblLayout w:type="fixed"/>
        <w:tblCellMar>
          <w:top w:w="0" w:type="dxa"/>
          <w:left w:w="0" w:type="dxa"/>
          <w:bottom w:w="0" w:type="dxa"/>
          <w:right w:w="0" w:type="dxa"/>
        </w:tblCellMar>
      </w:tblPr>
      <w:tblGrid>
        <w:gridCol w:w="3815"/>
        <w:gridCol w:w="60"/>
        <w:gridCol w:w="140"/>
        <w:gridCol w:w="560"/>
        <w:gridCol w:w="95"/>
        <w:gridCol w:w="60"/>
        <w:gridCol w:w="99"/>
        <w:gridCol w:w="731"/>
        <w:gridCol w:w="290"/>
        <w:gridCol w:w="60"/>
        <w:gridCol w:w="140"/>
        <w:gridCol w:w="560"/>
        <w:gridCol w:w="95"/>
        <w:gridCol w:w="60"/>
        <w:gridCol w:w="99"/>
        <w:gridCol w:w="731"/>
        <w:gridCol w:w="290"/>
        <w:gridCol w:w="60"/>
        <w:gridCol w:w="140"/>
        <w:gridCol w:w="560"/>
        <w:gridCol w:w="95"/>
        <w:gridCol w:w="60"/>
        <w:gridCol w:w="99"/>
        <w:gridCol w:w="731"/>
        <w:gridCol w:w="290"/>
        <w:gridCol w:w="60"/>
        <w:gridCol w:w="140"/>
        <w:gridCol w:w="560"/>
        <w:gridCol w:w="95"/>
        <w:gridCol w:w="60"/>
        <w:gridCol w:w="99"/>
        <w:gridCol w:w="731"/>
        <w:gridCol w:w="305"/>
      </w:tblGrid>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3720"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0" w:type="dxa"/>
            <w:gridSpan w:val="14"/>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w:t>
            </w:r>
          </w:p>
        </w:tc>
        <w:tc>
          <w:tcPr>
            <w:tcW w:w="30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vAlign w:val="bottom"/>
          </w:tcPr>
          <w:p>
            <w:pPr>
              <w:pStyle w:val="TableContents"/>
              <w:bidi w:val="0"/>
              <w:spacing w:lineRule="auto" w:line="300" w:before="0" w:after="0"/>
              <w:jc w:val="center"/>
              <w:rPr>
                <w:b/>
              </w:rPr>
            </w:pPr>
            <w:r>
              <w:rPr>
                <w:b/>
              </w:rPr>
              <w:t>June 30,</w:t>
            </w:r>
          </w:p>
        </w:tc>
        <w:tc>
          <w:tcPr>
            <w:tcW w:w="30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30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i/>
              </w:rPr>
            </w:pPr>
            <w:r>
              <w:rPr>
                <w:i/>
              </w:rPr>
              <w:t>Dollars in thousands</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of revenue</w:t>
            </w:r>
          </w:p>
        </w:tc>
        <w:tc>
          <w:tcPr>
            <w:tcW w:w="30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jc w:val="left"/>
              <w:rPr>
                <w:b/>
              </w:rPr>
            </w:pPr>
            <w:r>
              <w:rPr>
                <w:b/>
              </w:rPr>
              <w:t>GAAP general &amp;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1,576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23.8</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1,739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30.4</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4,141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39.3</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560" w:type="dxa"/>
            <w:tcBorders/>
            <w:shd w:fill="CCEEFF" w:val="clear"/>
            <w:vAlign w:val="bottom"/>
          </w:tcPr>
          <w:p>
            <w:pPr>
              <w:pStyle w:val="TableContents"/>
              <w:bidi w:val="0"/>
              <w:spacing w:lineRule="auto" w:line="300" w:before="0" w:after="0"/>
              <w:jc w:val="right"/>
              <w:rPr>
                <w:b/>
              </w:rPr>
            </w:pPr>
            <w:r>
              <w:rPr>
                <w:b/>
              </w:rPr>
              <w:t>3,959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b/>
              </w:rPr>
            </w:pPr>
            <w:r>
              <w:rPr>
                <w:b/>
              </w:rPr>
              <w:t>36.8</w:t>
            </w:r>
          </w:p>
        </w:tc>
        <w:tc>
          <w:tcPr>
            <w:tcW w:w="305" w:type="dxa"/>
            <w:tcBorders/>
            <w:shd w:fill="CCEEFF" w:val="clear"/>
            <w:vAlign w:val="bottom"/>
          </w:tcPr>
          <w:p>
            <w:pPr>
              <w:pStyle w:val="TableContents"/>
              <w:bidi w:val="0"/>
              <w:spacing w:lineRule="auto" w:line="300" w:before="0" w:after="0"/>
              <w:jc w:val="left"/>
              <w:rPr>
                <w:b/>
              </w:rPr>
            </w:pPr>
            <w:r>
              <w:rPr>
                <w:b/>
              </w:rPr>
              <w:t>%</w:t>
            </w:r>
          </w:p>
        </w:tc>
      </w:tr>
      <w:tr>
        <w:trPr/>
        <w:tc>
          <w:tcPr>
            <w:tcW w:w="3815" w:type="dxa"/>
            <w:tcBorders/>
            <w:vAlign w:val="bottom"/>
          </w:tcPr>
          <w:p>
            <w:pPr>
              <w:pStyle w:val="TableContents"/>
              <w:bidi w:val="0"/>
              <w:spacing w:lineRule="auto" w:line="300" w:before="0" w:after="0"/>
              <w:jc w:val="left"/>
              <w:rPr>
                <w:i/>
              </w:rPr>
            </w:pPr>
            <w:r>
              <w:rPr>
                <w:i/>
              </w:rPr>
              <w:t>Adjustments: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jc w:val="left"/>
              <w:rPr/>
            </w:pPr>
            <w:r>
              <w:rPr/>
              <w:t>Other income related to the settlement of the post closing statement for the acquisition of AlterG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142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2.1</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142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1.3</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w:t>
            </w:r>
          </w:p>
        </w:tc>
        <w:tc>
          <w:tcPr>
            <w:tcW w:w="30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300" w:before="0" w:after="0"/>
              <w:jc w:val="left"/>
              <w:rPr/>
            </w:pPr>
            <w:r>
              <w:rPr/>
              <w:t>Oramed transaction-related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(619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(5.9</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30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jc w:val="left"/>
              <w:rPr/>
            </w:pPr>
            <w:r>
              <w:rPr/>
              <w:t>Restructuring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(423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(7.4</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lineRule="auto" w:line="300" w:before="0" w:after="0"/>
              <w:jc w:val="right"/>
              <w:rPr/>
            </w:pPr>
            <w:r>
              <w:rPr/>
              <w:t>(423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lineRule="auto" w:line="300" w:before="0" w:after="0"/>
              <w:jc w:val="right"/>
              <w:rPr/>
            </w:pPr>
            <w:r>
              <w:rPr/>
              <w:t>(3.9</w:t>
            </w:r>
          </w:p>
        </w:tc>
        <w:tc>
          <w:tcPr>
            <w:tcW w:w="305" w:type="dxa"/>
            <w:tcBorders/>
            <w:shd w:fill="CCEEFF" w:val="clear"/>
            <w:vAlign w:val="bottom"/>
          </w:tcPr>
          <w:p>
            <w:pPr>
              <w:pStyle w:val="TableContents"/>
              <w:bidi w:val="0"/>
              <w:spacing w:lineRule="auto" w:line="300" w:before="0" w:after="0"/>
              <w:jc w:val="left"/>
              <w:rPr/>
            </w:pPr>
            <w:r>
              <w:rPr/>
              <w:t>)%</w:t>
            </w:r>
          </w:p>
        </w:tc>
      </w:tr>
      <w:tr>
        <w:trPr/>
        <w:tc>
          <w:tcPr>
            <w:tcW w:w="3815" w:type="dxa"/>
            <w:tcBorders/>
            <w:vAlign w:val="bottom"/>
          </w:tcPr>
          <w:p>
            <w:pPr>
              <w:pStyle w:val="TableContents"/>
              <w:bidi w:val="0"/>
              <w:spacing w:lineRule="auto" w:line="300" w:before="0" w:after="0"/>
              <w:jc w:val="left"/>
              <w:rPr/>
            </w:pPr>
            <w:r>
              <w:rPr/>
              <w:t>Remeasurement of earnout liability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608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10.6</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lineRule="auto" w:line="300" w:before="0" w:after="0"/>
              <w:jc w:val="right"/>
              <w:rPr/>
            </w:pPr>
            <w:r>
              <w:rPr/>
              <w:t>608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lineRule="auto" w:line="300" w:before="0" w:after="0"/>
              <w:jc w:val="right"/>
              <w:rPr/>
            </w:pPr>
            <w:r>
              <w:rPr/>
              <w:t>5.7</w:t>
            </w:r>
          </w:p>
        </w:tc>
        <w:tc>
          <w:tcPr>
            <w:tcW w:w="305" w:type="dxa"/>
            <w:tcBorders/>
            <w:vAlign w:val="bottom"/>
          </w:tcPr>
          <w:p>
            <w:pPr>
              <w:pStyle w:val="TableContents"/>
              <w:bidi w:val="0"/>
              <w:spacing w:lineRule="auto" w:line="300" w:before="0" w:after="0"/>
              <w:jc w:val="left"/>
              <w:rPr/>
            </w:pPr>
            <w:r>
              <w:rPr/>
              <w:t>%</w:t>
            </w:r>
          </w:p>
        </w:tc>
      </w:tr>
      <w:tr>
        <w:trPr/>
        <w:tc>
          <w:tcPr>
            <w:tcW w:w="3815" w:type="dxa"/>
            <w:tcBorders/>
            <w:shd w:fill="CCEEFF" w:val="clear"/>
            <w:vAlign w:val="bottom"/>
          </w:tcPr>
          <w:p>
            <w:pPr>
              <w:pStyle w:val="TableContents"/>
              <w:bidi w:val="0"/>
              <w:spacing w:lineRule="auto" w:line="300" w:before="0" w:after="0"/>
              <w:jc w:val="left"/>
              <w:rPr/>
            </w:pPr>
            <w:r>
              <w:rPr/>
              <w:t>Stock-based compensation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(219</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(3.3</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(1.5</w:t>
            </w:r>
          </w:p>
        </w:tc>
        <w:tc>
          <w:tcPr>
            <w:tcW w:w="29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(296</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(2.8</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(184</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(1.7</w:t>
            </w:r>
          </w:p>
        </w:tc>
        <w:tc>
          <w:tcPr>
            <w:tcW w:w="305" w:type="dxa"/>
            <w:tcBorders/>
            <w:shd w:fill="CCEEFF" w:val="clear"/>
            <w:vAlign w:val="bottom"/>
          </w:tcPr>
          <w:p>
            <w:pPr>
              <w:pStyle w:val="TableContents"/>
              <w:bidi w:val="0"/>
              <w:spacing w:lineRule="auto" w:line="300" w:before="0" w:after="0"/>
              <w:jc w:val="left"/>
              <w:rPr/>
            </w:pPr>
            <w:r>
              <w:rPr/>
              <w:t>)%</w:t>
            </w:r>
          </w:p>
        </w:tc>
      </w:tr>
      <w:tr>
        <w:trPr/>
        <w:tc>
          <w:tcPr>
            <w:tcW w:w="38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lineRule="auto" w:line="300" w:before="0" w:after="0"/>
              <w:jc w:val="left"/>
              <w:rPr>
                <w:b/>
              </w:rPr>
            </w:pPr>
            <w:r>
              <w:rPr>
                <w:b/>
              </w:rPr>
              <w:t>Non-GAAP general &amp;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1,499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22.6</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1,839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32.1</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3,368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31.9</w:t>
            </w:r>
          </w:p>
        </w:tc>
        <w:tc>
          <w:tcPr>
            <w:tcW w:w="29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3,960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36.9</w:t>
            </w:r>
          </w:p>
        </w:tc>
        <w:tc>
          <w:tcPr>
            <w:tcW w:w="305" w:type="dxa"/>
            <w:tcBorders/>
            <w:shd w:fill="CCEEFF" w:val="clear"/>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xml:space="preserve">  </w:t>
      </w:r>
    </w:p>
    <w:p>
      <w:pPr>
        <w:pStyle w:val="HorizontalLine"/>
        <w:bidi w:val="0"/>
        <w:spacing w:lineRule="auto" w:line="300"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4333</Words>
  <Characters>23061</Characters>
  <CharactersWithSpaces>28439</CharactersWithSpaces>
  <Paragraphs>3094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