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zk2635810.htm"/>
      <w:bookmarkStart w:id="1" w:name="kszk2635810"/>
      <w:bookmarkEnd w:id="0"/>
      <w:bookmarkEnd w:id="1"/>
      <w:r>
        <w:rPr>
          <w:rFonts w:ascii="Times New Roman;Times;Serif" w:hAnsi="Times New Roman;Times;Serif"/>
          <w:b/>
          <w:i w:val="false"/>
          <w:caps w:val="false"/>
          <w:smallCaps w:val="false"/>
          <w:sz w:val="20"/>
        </w:rPr>
        <w:t>As filed with the Securities and Exchange Commission on August 3,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10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S-3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Lifeward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b/>
                <w:sz w:val="20"/>
              </w:rPr>
            </w:pPr>
            <w:r>
              <w:rPr>
                <w:b/>
                <w:sz w:val="20"/>
              </w:rPr>
              <w:t>State of Israel</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sz w:val="20"/>
              </w:rPr>
            </w:pPr>
            <w:r>
              <w:rPr>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Cabot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Hudson, MA 01749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 251-1154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Mark Grant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President and Chief Executive Officer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Lifeward,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Cabot Rd.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Hudson, MA 01749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251-1154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330"/>
        <w:gridCol w:w="2735"/>
      </w:tblGrid>
      <w:tr>
        <w:trPr/>
        <w:tc>
          <w:tcPr>
            <w:tcW w:w="23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M. Bushey,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Jennifer L. Porter,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3025 John F Kennedy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19104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(445) 207-7805</w:t>
            </w:r>
          </w:p>
        </w:tc>
        <w:tc>
          <w:tcPr>
            <w:tcW w:w="27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Aaron M. Lampert, Adv.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Ephraim Peter Friedman, Adv.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Goldfarb Gross Seligman &amp; Co.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Azrieli Center, Round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 6701101, Israel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 (3) 607-4444</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this Registration Statement becomes effective.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49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 Selling Shareholders may not sell these securities until the registration statement filed with the Securities and Exchange Commission is effective. This prospectus is not an offer to sell these securities, and neither we nor the Selling Shareholders are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95650"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95650" cy="1209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2,066,662 Ordinary Shares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2,066,662 ordinary shares, no par value (the “ordinary shares”), by the Selling Shareholders listed on page 14, including their donees, pledgees, assignees, transferees or other successors-in-interest, which consist of 1,033,331 ordinary shares issuable upon conversion of the Initial Notes (as defined below) and 1,033,331 ordinary shares issuable upon exercise of the Initial Warrants (as defined below), each of which was issued in connection with the Note and Warrant Financing (as defined below).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pursuant to securities purchase agreements that we entered into with the Selling Shareholders, to bear all of the expenses incurred in connection with the registration of these ordinary shares. The Selling Shareholders will pay or assume discounts, commissions, fees of underwriters, selling brokers or dealer managers and similar expenses, if any, incurred for the sale of these ordinary shares. We are not selling any ordinary shares under this prospectus and will not receive any proceeds from the sale by the Selling Shareholders of such ordinary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identified in this prospectus, or their donees, pledgees, assignees, transferees or other successors-in-interest, may offer the ordinary shares from time to time on terms to be determined at the time of sale through ordinary brokerage transactions or through any other means described in this prospectus under the caption “Plan of Distribution.” The ordinary shares may be sold at fixed prices, at prevailing market prices at the time of sale, at prices related to the prevailing market price, at varying prices determined at the time of sale, or at negotiated prices. For a list of the Selling Shareholders, see the section entitled “Selling Shareholders” on page 14 of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traded on the Nasdaq Capital Market under the symbol “LFWD.” The last reported sales price of our ordinary shares on the Nasdaq Capital Market on July 31, 2026 was $7.22 per ordinary share.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See “Risk Factors” on page 7 of this prospectus, and in the documents incorporated by reference in this prospectus, for a discussion of the factors you should carefully consider before deciding to purchase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U.S. Securities and Exchange Commission, any state securities commission or the Israel Securities Authority has approved or disapproved of these securities or determined if this prospectus is truthful or complete. Any representation to the contrary is a criminal offense.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6220" w:type="dxa"/>
        <w:jc w:val="left"/>
        <w:tblInd w:w="0" w:type="dxa"/>
        <w:tblLayout w:type="fixed"/>
        <w:tblCellMar>
          <w:top w:w="0" w:type="dxa"/>
          <w:left w:w="0" w:type="dxa"/>
          <w:bottom w:w="0" w:type="dxa"/>
          <w:right w:w="0" w:type="dxa"/>
        </w:tblCellMar>
      </w:tblPr>
      <w:tblGrid>
        <w:gridCol w:w="5765"/>
        <w:gridCol w:w="455"/>
      </w:tblGrid>
      <w:tr>
        <w:trPr/>
        <w:tc>
          <w:tcPr>
            <w:tcW w:w="57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200"/>
              <w:jc w:val="center"/>
              <w:rPr>
                <w:b/>
                <w:sz w:val="20"/>
              </w:rPr>
            </w:pPr>
            <w:r>
              <w:rPr>
                <w:b/>
                <w:sz w:val="20"/>
              </w:rPr>
              <w:t>Page</w:t>
            </w:r>
          </w:p>
        </w:tc>
      </w:tr>
      <w:tr>
        <w:trPr/>
        <w:tc>
          <w:tcPr>
            <w:tcW w:w="5765" w:type="dxa"/>
            <w:tcBorders/>
            <w:vAlign w:val="center"/>
          </w:tcPr>
          <w:p>
            <w:pPr>
              <w:pStyle w:val="TableContents"/>
              <w:bidi w:val="0"/>
              <w:spacing w:before="0" w:after="283"/>
              <w:jc w:val="left"/>
              <w:rPr/>
            </w:pPr>
            <w:hyperlink w:anchor="a_001">
              <w:r>
                <w:rPr>
                  <w:rStyle w:val="InternetLink"/>
                  <w:sz w:val="20"/>
                  <w:u w:val="single"/>
                </w:rPr>
                <w:t>ABOUT THIS PROSPECTUS</w:t>
              </w:r>
            </w:hyperlink>
          </w:p>
        </w:tc>
        <w:tc>
          <w:tcPr>
            <w:tcW w:w="455" w:type="dxa"/>
            <w:tcBorders/>
            <w:vAlign w:val="center"/>
          </w:tcPr>
          <w:p>
            <w:pPr>
              <w:pStyle w:val="TableContents"/>
              <w:bidi w:val="0"/>
              <w:spacing w:before="0" w:after="283"/>
              <w:ind w:left="0" w:right="0" w:hanging="200"/>
              <w:jc w:val="center"/>
              <w:rPr>
                <w:sz w:val="20"/>
              </w:rPr>
            </w:pPr>
            <w:r>
              <w:rPr>
                <w:sz w:val="20"/>
              </w:rPr>
              <w:t>1</w:t>
            </w:r>
          </w:p>
        </w:tc>
      </w:tr>
      <w:tr>
        <w:trPr/>
        <w:tc>
          <w:tcPr>
            <w:tcW w:w="5765" w:type="dxa"/>
            <w:tcBorders/>
            <w:vAlign w:val="center"/>
          </w:tcPr>
          <w:p>
            <w:pPr>
              <w:pStyle w:val="TableContents"/>
              <w:bidi w:val="0"/>
              <w:spacing w:before="0" w:after="283"/>
              <w:jc w:val="left"/>
              <w:rPr/>
            </w:pPr>
            <w:hyperlink w:anchor="a_002">
              <w:r>
                <w:rPr>
                  <w:rStyle w:val="InternetLink"/>
                  <w:sz w:val="20"/>
                  <w:u w:val="single"/>
                </w:rPr>
                <w:t>SPECIAL NOTE REGARDING FORWARD-LOOKING STATEMENTS</w:t>
              </w:r>
            </w:hyperlink>
          </w:p>
        </w:tc>
        <w:tc>
          <w:tcPr>
            <w:tcW w:w="455" w:type="dxa"/>
            <w:tcBorders/>
            <w:vAlign w:val="center"/>
          </w:tcPr>
          <w:p>
            <w:pPr>
              <w:pStyle w:val="TableContents"/>
              <w:bidi w:val="0"/>
              <w:spacing w:before="0" w:after="283"/>
              <w:ind w:left="0" w:right="0" w:hanging="200"/>
              <w:jc w:val="center"/>
              <w:rPr>
                <w:sz w:val="20"/>
              </w:rPr>
            </w:pPr>
            <w:r>
              <w:rPr>
                <w:sz w:val="20"/>
              </w:rPr>
              <w:t>2</w:t>
            </w:r>
          </w:p>
        </w:tc>
      </w:tr>
      <w:tr>
        <w:trPr/>
        <w:tc>
          <w:tcPr>
            <w:tcW w:w="5765" w:type="dxa"/>
            <w:tcBorders/>
            <w:vAlign w:val="center"/>
          </w:tcPr>
          <w:p>
            <w:pPr>
              <w:pStyle w:val="TableContents"/>
              <w:bidi w:val="0"/>
              <w:spacing w:before="0" w:after="283"/>
              <w:jc w:val="left"/>
              <w:rPr/>
            </w:pPr>
            <w:hyperlink w:anchor="a_003">
              <w:r>
                <w:rPr>
                  <w:rStyle w:val="InternetLink"/>
                  <w:sz w:val="20"/>
                  <w:u w:val="single"/>
                </w:rPr>
                <w:t>PROSPECTUS SUMMARY</w:t>
              </w:r>
            </w:hyperlink>
          </w:p>
        </w:tc>
        <w:tc>
          <w:tcPr>
            <w:tcW w:w="455" w:type="dxa"/>
            <w:tcBorders/>
            <w:vAlign w:val="center"/>
          </w:tcPr>
          <w:p>
            <w:pPr>
              <w:pStyle w:val="TableContents"/>
              <w:bidi w:val="0"/>
              <w:spacing w:before="0" w:after="283"/>
              <w:ind w:left="0" w:right="0" w:hanging="200"/>
              <w:jc w:val="center"/>
              <w:rPr>
                <w:sz w:val="20"/>
              </w:rPr>
            </w:pPr>
            <w:r>
              <w:rPr>
                <w:sz w:val="20"/>
              </w:rPr>
              <w:t>4</w:t>
            </w:r>
          </w:p>
        </w:tc>
      </w:tr>
      <w:tr>
        <w:trPr/>
        <w:tc>
          <w:tcPr>
            <w:tcW w:w="5765" w:type="dxa"/>
            <w:tcBorders/>
            <w:vAlign w:val="center"/>
          </w:tcPr>
          <w:p>
            <w:pPr>
              <w:pStyle w:val="TableContents"/>
              <w:bidi w:val="0"/>
              <w:spacing w:before="0" w:after="283"/>
              <w:jc w:val="left"/>
              <w:rPr/>
            </w:pPr>
            <w:hyperlink w:anchor="a_005">
              <w:r>
                <w:rPr>
                  <w:rStyle w:val="InternetLink"/>
                  <w:sz w:val="20"/>
                  <w:u w:val="single"/>
                </w:rPr>
                <w:t>RISK FACTORS</w:t>
              </w:r>
            </w:hyperlink>
          </w:p>
        </w:tc>
        <w:tc>
          <w:tcPr>
            <w:tcW w:w="455" w:type="dxa"/>
            <w:tcBorders/>
            <w:vAlign w:val="center"/>
          </w:tcPr>
          <w:p>
            <w:pPr>
              <w:pStyle w:val="TableContents"/>
              <w:bidi w:val="0"/>
              <w:spacing w:before="0" w:after="283"/>
              <w:ind w:left="0" w:right="0" w:hanging="200"/>
              <w:jc w:val="center"/>
              <w:rPr>
                <w:sz w:val="20"/>
              </w:rPr>
            </w:pPr>
            <w:r>
              <w:rPr>
                <w:sz w:val="20"/>
              </w:rPr>
              <w:t>7</w:t>
            </w:r>
          </w:p>
        </w:tc>
      </w:tr>
      <w:tr>
        <w:trPr/>
        <w:tc>
          <w:tcPr>
            <w:tcW w:w="5765" w:type="dxa"/>
            <w:tcBorders/>
            <w:vAlign w:val="center"/>
          </w:tcPr>
          <w:p>
            <w:pPr>
              <w:pStyle w:val="TableContents"/>
              <w:bidi w:val="0"/>
              <w:spacing w:before="0" w:after="283"/>
              <w:jc w:val="left"/>
              <w:rPr/>
            </w:pPr>
            <w:hyperlink w:anchor="a_006">
              <w:r>
                <w:rPr>
                  <w:rStyle w:val="InternetLink"/>
                  <w:sz w:val="20"/>
                  <w:u w:val="single"/>
                </w:rPr>
                <w:t>USE OF PROCEEDS</w:t>
              </w:r>
            </w:hyperlink>
          </w:p>
        </w:tc>
        <w:tc>
          <w:tcPr>
            <w:tcW w:w="455" w:type="dxa"/>
            <w:tcBorders/>
            <w:vAlign w:val="center"/>
          </w:tcPr>
          <w:p>
            <w:pPr>
              <w:pStyle w:val="TableContents"/>
              <w:bidi w:val="0"/>
              <w:spacing w:before="0" w:after="283"/>
              <w:ind w:left="0" w:right="0" w:hanging="200"/>
              <w:jc w:val="center"/>
              <w:rPr>
                <w:sz w:val="20"/>
              </w:rPr>
            </w:pPr>
            <w:r>
              <w:rPr>
                <w:sz w:val="20"/>
              </w:rPr>
              <w:t>8</w:t>
            </w:r>
          </w:p>
        </w:tc>
      </w:tr>
      <w:tr>
        <w:trPr/>
        <w:tc>
          <w:tcPr>
            <w:tcW w:w="5765" w:type="dxa"/>
            <w:tcBorders/>
            <w:vAlign w:val="center"/>
          </w:tcPr>
          <w:p>
            <w:pPr>
              <w:pStyle w:val="TableContents"/>
              <w:bidi w:val="0"/>
              <w:spacing w:before="0" w:after="283"/>
              <w:jc w:val="left"/>
              <w:rPr/>
            </w:pPr>
            <w:hyperlink w:anchor="a_007">
              <w:r>
                <w:rPr>
                  <w:rStyle w:val="InternetLink"/>
                  <w:sz w:val="20"/>
                  <w:u w:val="single"/>
                </w:rPr>
                <w:t>DESCRIPTION OF ORDINARY SHARES</w:t>
              </w:r>
            </w:hyperlink>
          </w:p>
        </w:tc>
        <w:tc>
          <w:tcPr>
            <w:tcW w:w="455" w:type="dxa"/>
            <w:tcBorders/>
            <w:vAlign w:val="center"/>
          </w:tcPr>
          <w:p>
            <w:pPr>
              <w:pStyle w:val="TableContents"/>
              <w:bidi w:val="0"/>
              <w:spacing w:before="0" w:after="283"/>
              <w:ind w:left="0" w:right="0" w:hanging="200"/>
              <w:jc w:val="center"/>
              <w:rPr>
                <w:sz w:val="20"/>
              </w:rPr>
            </w:pPr>
            <w:r>
              <w:rPr>
                <w:sz w:val="20"/>
              </w:rPr>
              <w:t>9</w:t>
            </w:r>
          </w:p>
        </w:tc>
      </w:tr>
      <w:tr>
        <w:trPr/>
        <w:tc>
          <w:tcPr>
            <w:tcW w:w="5765" w:type="dxa"/>
            <w:tcBorders/>
            <w:vAlign w:val="center"/>
          </w:tcPr>
          <w:p>
            <w:pPr>
              <w:pStyle w:val="TableContents"/>
              <w:bidi w:val="0"/>
              <w:spacing w:before="0" w:after="283"/>
              <w:jc w:val="left"/>
              <w:rPr/>
            </w:pPr>
            <w:hyperlink w:anchor="a_008">
              <w:r>
                <w:rPr>
                  <w:rStyle w:val="InternetLink"/>
                  <w:sz w:val="20"/>
                  <w:u w:val="single"/>
                </w:rPr>
                <w:t>SELLING SHAREHOLDERS</w:t>
              </w:r>
            </w:hyperlink>
          </w:p>
        </w:tc>
        <w:tc>
          <w:tcPr>
            <w:tcW w:w="455" w:type="dxa"/>
            <w:tcBorders/>
            <w:vAlign w:val="center"/>
          </w:tcPr>
          <w:p>
            <w:pPr>
              <w:pStyle w:val="TableContents"/>
              <w:bidi w:val="0"/>
              <w:spacing w:before="0" w:after="283"/>
              <w:ind w:left="0" w:right="0" w:hanging="200"/>
              <w:jc w:val="center"/>
              <w:rPr>
                <w:sz w:val="20"/>
              </w:rPr>
            </w:pPr>
            <w:r>
              <w:rPr>
                <w:sz w:val="20"/>
              </w:rPr>
              <w:t>14</w:t>
            </w:r>
          </w:p>
        </w:tc>
      </w:tr>
      <w:tr>
        <w:trPr/>
        <w:tc>
          <w:tcPr>
            <w:tcW w:w="5765" w:type="dxa"/>
            <w:tcBorders/>
            <w:vAlign w:val="center"/>
          </w:tcPr>
          <w:p>
            <w:pPr>
              <w:pStyle w:val="TableContents"/>
              <w:bidi w:val="0"/>
              <w:spacing w:before="0" w:after="283"/>
              <w:jc w:val="left"/>
              <w:rPr/>
            </w:pPr>
            <w:hyperlink w:anchor="a_009">
              <w:r>
                <w:rPr>
                  <w:rStyle w:val="InternetLink"/>
                  <w:sz w:val="20"/>
                  <w:u w:val="single"/>
                </w:rPr>
                <w:t>PLAN OF DISTRIBUTION</w:t>
              </w:r>
            </w:hyperlink>
          </w:p>
        </w:tc>
        <w:tc>
          <w:tcPr>
            <w:tcW w:w="455" w:type="dxa"/>
            <w:tcBorders/>
            <w:vAlign w:val="center"/>
          </w:tcPr>
          <w:p>
            <w:pPr>
              <w:pStyle w:val="TableContents"/>
              <w:bidi w:val="0"/>
              <w:spacing w:before="0" w:after="283"/>
              <w:ind w:left="0" w:right="0" w:hanging="200"/>
              <w:jc w:val="center"/>
              <w:rPr>
                <w:sz w:val="20"/>
              </w:rPr>
            </w:pPr>
            <w:r>
              <w:rPr>
                <w:sz w:val="20"/>
              </w:rPr>
              <w:t>16</w:t>
            </w:r>
          </w:p>
        </w:tc>
      </w:tr>
      <w:tr>
        <w:trPr/>
        <w:tc>
          <w:tcPr>
            <w:tcW w:w="5765" w:type="dxa"/>
            <w:tcBorders/>
            <w:vAlign w:val="center"/>
          </w:tcPr>
          <w:p>
            <w:pPr>
              <w:pStyle w:val="TableContents"/>
              <w:bidi w:val="0"/>
              <w:spacing w:before="0" w:after="283"/>
              <w:jc w:val="left"/>
              <w:rPr/>
            </w:pPr>
            <w:hyperlink w:anchor="a_010">
              <w:r>
                <w:rPr>
                  <w:rStyle w:val="InternetLink"/>
                  <w:sz w:val="20"/>
                  <w:u w:val="single"/>
                </w:rPr>
                <w:t>EXPERTS</w:t>
              </w:r>
            </w:hyperlink>
          </w:p>
        </w:tc>
        <w:tc>
          <w:tcPr>
            <w:tcW w:w="455" w:type="dxa"/>
            <w:tcBorders/>
            <w:vAlign w:val="center"/>
          </w:tcPr>
          <w:p>
            <w:pPr>
              <w:pStyle w:val="TableContents"/>
              <w:bidi w:val="0"/>
              <w:spacing w:before="0" w:after="283"/>
              <w:ind w:left="0" w:right="0" w:hanging="200"/>
              <w:jc w:val="center"/>
              <w:rPr>
                <w:sz w:val="20"/>
              </w:rPr>
            </w:pPr>
            <w:r>
              <w:rPr>
                <w:sz w:val="20"/>
              </w:rPr>
              <w:t>18</w:t>
            </w:r>
          </w:p>
        </w:tc>
      </w:tr>
      <w:tr>
        <w:trPr/>
        <w:tc>
          <w:tcPr>
            <w:tcW w:w="5765" w:type="dxa"/>
            <w:tcBorders/>
            <w:vAlign w:val="center"/>
          </w:tcPr>
          <w:p>
            <w:pPr>
              <w:pStyle w:val="TableContents"/>
              <w:bidi w:val="0"/>
              <w:spacing w:before="0" w:after="283"/>
              <w:jc w:val="left"/>
              <w:rPr/>
            </w:pPr>
            <w:hyperlink w:anchor="a_011">
              <w:r>
                <w:rPr>
                  <w:rStyle w:val="InternetLink"/>
                  <w:sz w:val="20"/>
                  <w:u w:val="single"/>
                </w:rPr>
                <w:t>LEGAL MATTERS</w:t>
              </w:r>
            </w:hyperlink>
          </w:p>
        </w:tc>
        <w:tc>
          <w:tcPr>
            <w:tcW w:w="455" w:type="dxa"/>
            <w:tcBorders/>
            <w:vAlign w:val="center"/>
          </w:tcPr>
          <w:p>
            <w:pPr>
              <w:pStyle w:val="TableContents"/>
              <w:bidi w:val="0"/>
              <w:spacing w:before="0" w:after="283"/>
              <w:ind w:left="0" w:right="0" w:hanging="200"/>
              <w:jc w:val="center"/>
              <w:rPr>
                <w:sz w:val="20"/>
              </w:rPr>
            </w:pPr>
            <w:r>
              <w:rPr>
                <w:sz w:val="20"/>
              </w:rPr>
              <w:t>18</w:t>
            </w:r>
          </w:p>
        </w:tc>
      </w:tr>
      <w:tr>
        <w:trPr/>
        <w:tc>
          <w:tcPr>
            <w:tcW w:w="5765" w:type="dxa"/>
            <w:tcBorders/>
            <w:vAlign w:val="center"/>
          </w:tcPr>
          <w:p>
            <w:pPr>
              <w:pStyle w:val="TableContents"/>
              <w:bidi w:val="0"/>
              <w:spacing w:before="0" w:after="283"/>
              <w:jc w:val="left"/>
              <w:rPr/>
            </w:pPr>
            <w:hyperlink w:anchor="a_012">
              <w:r>
                <w:rPr>
                  <w:rStyle w:val="InternetLink"/>
                  <w:sz w:val="20"/>
                  <w:u w:val="single"/>
                </w:rPr>
                <w:t>ENFORCEABILITY OF CIVIL LIABILITIES</w:t>
              </w:r>
            </w:hyperlink>
          </w:p>
        </w:tc>
        <w:tc>
          <w:tcPr>
            <w:tcW w:w="455" w:type="dxa"/>
            <w:tcBorders/>
            <w:vAlign w:val="center"/>
          </w:tcPr>
          <w:p>
            <w:pPr>
              <w:pStyle w:val="TableContents"/>
              <w:bidi w:val="0"/>
              <w:spacing w:before="0" w:after="283"/>
              <w:ind w:left="0" w:right="0" w:hanging="200"/>
              <w:jc w:val="center"/>
              <w:rPr>
                <w:sz w:val="20"/>
              </w:rPr>
            </w:pPr>
            <w:r>
              <w:rPr>
                <w:sz w:val="20"/>
              </w:rPr>
              <w:t>18</w:t>
            </w:r>
          </w:p>
        </w:tc>
      </w:tr>
      <w:tr>
        <w:trPr/>
        <w:tc>
          <w:tcPr>
            <w:tcW w:w="5765" w:type="dxa"/>
            <w:tcBorders/>
            <w:vAlign w:val="center"/>
          </w:tcPr>
          <w:p>
            <w:pPr>
              <w:pStyle w:val="TableContents"/>
              <w:bidi w:val="0"/>
              <w:spacing w:before="0" w:after="283"/>
              <w:jc w:val="left"/>
              <w:rPr/>
            </w:pPr>
            <w:hyperlink w:anchor="a_013">
              <w:r>
                <w:rPr>
                  <w:rStyle w:val="InternetLink"/>
                  <w:sz w:val="20"/>
                  <w:u w:val="single"/>
                </w:rPr>
                <w:t>WHERE YOU CAN FIND ADDITIONAL INFORMATION</w:t>
              </w:r>
            </w:hyperlink>
          </w:p>
        </w:tc>
        <w:tc>
          <w:tcPr>
            <w:tcW w:w="455" w:type="dxa"/>
            <w:tcBorders/>
            <w:vAlign w:val="center"/>
          </w:tcPr>
          <w:p>
            <w:pPr>
              <w:pStyle w:val="TableContents"/>
              <w:bidi w:val="0"/>
              <w:spacing w:before="0" w:after="283"/>
              <w:ind w:left="0" w:right="0" w:hanging="200"/>
              <w:jc w:val="center"/>
              <w:rPr>
                <w:sz w:val="20"/>
              </w:rPr>
            </w:pPr>
            <w:r>
              <w:rPr>
                <w:sz w:val="20"/>
              </w:rPr>
              <w:t>20</w:t>
            </w:r>
          </w:p>
        </w:tc>
      </w:tr>
      <w:tr>
        <w:trPr/>
        <w:tc>
          <w:tcPr>
            <w:tcW w:w="5765" w:type="dxa"/>
            <w:tcBorders/>
            <w:vAlign w:val="center"/>
          </w:tcPr>
          <w:p>
            <w:pPr>
              <w:pStyle w:val="TableContents"/>
              <w:bidi w:val="0"/>
              <w:spacing w:before="0" w:after="283"/>
              <w:jc w:val="left"/>
              <w:rPr/>
            </w:pPr>
            <w:hyperlink w:anchor="a_014">
              <w:r>
                <w:rPr>
                  <w:rStyle w:val="InternetLink"/>
                  <w:sz w:val="20"/>
                  <w:u w:val="single"/>
                </w:rPr>
                <w:t>INCORPORATION OF CERTAIN INFORMATION BY REFERENCE</w:t>
              </w:r>
            </w:hyperlink>
          </w:p>
        </w:tc>
        <w:tc>
          <w:tcPr>
            <w:tcW w:w="455" w:type="dxa"/>
            <w:tcBorders/>
            <w:vAlign w:val="center"/>
          </w:tcPr>
          <w:p>
            <w:pPr>
              <w:pStyle w:val="TableContents"/>
              <w:bidi w:val="0"/>
              <w:spacing w:before="0" w:after="283"/>
              <w:jc w:val="center"/>
              <w:rPr>
                <w:sz w:val="20"/>
              </w:rPr>
            </w:pPr>
            <w:r>
              <w:rPr>
                <w:sz w:val="20"/>
              </w:rPr>
              <w:t>20</w:t>
            </w:r>
          </w:p>
        </w:tc>
      </w:tr>
    </w:tbl>
    <w:p>
      <w:pPr>
        <w:pStyle w:val="TextBody"/>
        <w:bidi w:val="0"/>
        <w:spacing w:before="0" w:after="0"/>
        <w:ind w:left="0" w:right="0" w:hanging="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We have not and the Selling Shareholders have not authorized anyone else to provide you with different or additional information from that contained in this prospectus. We take no responsibility for, and can provide no assurance as to the reliability of, any information that others may give. The Selling Shareholders are offering to sell, and seeking offers to buy, ordinary shares only in jurisdictions where offers and sales are permitted. You should assume that the information appearing in this prospectus is accurate only as of the date on the front cover of this prospectus, regardless of the time of delivery of this prospectus or of any sale of ordinary shares. Our business, financial condition, results of operations and prospects may have changed since such date.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“shekel,” “Israeli shekel” and “NIS” refer to New Israeli Shekels, the lawful currency of the State of Israel, and the terms “dollar,” “U.S. dollar” or “$” refer to United States dollars, the lawful currency of the United States. All references to “shares” in this prospectus refer to ordinary shares of Lifeward Ltd., no par value per share.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or unless the context otherwise requires, the terms “Company,” “the registrant,” “our company,” “the company,” “we,” “us,” “our,” “ours,” and “Lifeward” refer to Lifeward Ltd., a company organized under the laws of the State of Israel.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 and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the documents incorporated by reference may contain forward-looking statements within the meaning of Section 27A of the Securities Act, Section 21E of the Exchange Act. These forward-looking statements are intended to be covered by the safe harbor for forward-looking statements provided by the U.S. Private Securities Litigation Reform Act of 1995 and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potential market opportunities and the effects of competition. Forward-looking statements include all statements that are not historical facts, may include projections regarding our future performance and, in some cases, can be identified by terms such as “anticipates,” “assumes,” “believes,” “could,” “continues,” “seeks,” “estimates,” “expects,” “intends,” “may,” “plans,” “goal,” “targets,” “potential,” “predicts,” “projects,” “should,” “will,” “would” or similar expressions that convey uncertainty of future events or outcomes and the negatives of those terms. Forward-looking statements include, but are not limited to, statements concerning: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expectations regarding future growth, including our ability to increase sales in our existing geographic markets and expand to new markets;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5815" w:type="dxa"/>
        <w:jc w:val="left"/>
        <w:tblInd w:w="0" w:type="dxa"/>
        <w:tblLayout w:type="fixed"/>
        <w:tblCellMar>
          <w:top w:w="0" w:type="dxa"/>
          <w:left w:w="0" w:type="dxa"/>
          <w:bottom w:w="0" w:type="dxa"/>
          <w:right w:w="0" w:type="dxa"/>
        </w:tblCellMar>
      </w:tblPr>
      <w:tblGrid>
        <w:gridCol w:w="125"/>
        <w:gridCol w:w="5690"/>
      </w:tblGrid>
      <w:tr>
        <w:trPr/>
        <w:tc>
          <w:tcPr>
            <w:tcW w:w="125"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sz w:val="20"/>
              </w:rPr>
            </w:pPr>
            <w:r>
              <w:rPr>
                <w:sz w:val="20"/>
              </w:rPr>
              <w:t>our ability to continue as a going concern for the next twelve months;</w:t>
            </w:r>
          </w:p>
        </w:tc>
      </w:tr>
      <w:tr>
        <w:trPr/>
        <w:tc>
          <w:tcPr>
            <w:tcW w:w="12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both"/>
              <w:rPr/>
            </w:pPr>
            <w:r>
              <w:rPr/>
              <w:t> </w:t>
            </w:r>
          </w:p>
        </w:tc>
      </w:tr>
    </w:tbl>
    <w:tbl>
      <w:tblPr>
        <w:tblW w:w="7510" w:type="dxa"/>
        <w:jc w:val="left"/>
        <w:tblInd w:w="0" w:type="dxa"/>
        <w:tblLayout w:type="fixed"/>
        <w:tblCellMar>
          <w:top w:w="0" w:type="dxa"/>
          <w:left w:w="0" w:type="dxa"/>
          <w:bottom w:w="0" w:type="dxa"/>
          <w:right w:w="0" w:type="dxa"/>
        </w:tblCellMar>
      </w:tblPr>
      <w:tblGrid>
        <w:gridCol w:w="125"/>
        <w:gridCol w:w="7385"/>
      </w:tblGrid>
      <w:tr>
        <w:trPr/>
        <w:tc>
          <w:tcPr>
            <w:tcW w:w="125"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our ability to maintain and grow our reputation and the market acceptance of our products;</w:t>
            </w:r>
          </w:p>
        </w:tc>
      </w:tr>
      <w:tr>
        <w:trPr/>
        <w:tc>
          <w:tcPr>
            <w:tcW w:w="12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achieve reimbursement from third-party payors for Private, Governments, and Medicare &amp; Medicaid Services (“CMS”) coverage for our products, including our ability to successfully submit and gain approval of cases for Medicare coverage through Medicare Administrative Contractors (“MACs”);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successfully integrate Oratech Pharmaceuticals Ltd. into our organization, and realize the anticipated benefits therefrom;</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5410" w:type="dxa"/>
        <w:jc w:val="left"/>
        <w:tblInd w:w="0" w:type="dxa"/>
        <w:tblLayout w:type="fixed"/>
        <w:tblCellMar>
          <w:top w:w="0" w:type="dxa"/>
          <w:left w:w="0" w:type="dxa"/>
          <w:bottom w:w="0" w:type="dxa"/>
          <w:right w:w="0" w:type="dxa"/>
        </w:tblCellMar>
      </w:tblPr>
      <w:tblGrid>
        <w:gridCol w:w="125"/>
        <w:gridCol w:w="5285"/>
      </w:tblGrid>
      <w:tr>
        <w:trPr/>
        <w:tc>
          <w:tcPr>
            <w:tcW w:w="125"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sz w:val="20"/>
              </w:rPr>
            </w:pPr>
            <w:r>
              <w:rPr>
                <w:sz w:val="20"/>
              </w:rPr>
              <w:t>the expected timing and results of the ORMD-0801 clinical trial;</w:t>
            </w:r>
          </w:p>
        </w:tc>
      </w:tr>
      <w:tr>
        <w:trPr/>
        <w:tc>
          <w:tcPr>
            <w:tcW w:w="12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have sufficient funds to meet certain future capital requirements, which could impair our efforts to develop and commercialize existing and new products;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achieve expected operating efficiencies and sustain or improve operating expense reductions, and our ability to handle any business disruptions that may occur in connection with streamlining operations;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reliance on third-party contract manufacturers for the production of our AlterG Anti-Gravity Systems and our ability to maintain product quality, ensure timely production and delivery, and manage potential supply chain disruptions;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5845" w:type="dxa"/>
        <w:jc w:val="left"/>
        <w:tblInd w:w="0" w:type="dxa"/>
        <w:tblLayout w:type="fixed"/>
        <w:tblCellMar>
          <w:top w:w="0" w:type="dxa"/>
          <w:left w:w="0" w:type="dxa"/>
          <w:bottom w:w="0" w:type="dxa"/>
          <w:right w:w="0" w:type="dxa"/>
        </w:tblCellMar>
      </w:tblPr>
      <w:tblGrid>
        <w:gridCol w:w="125"/>
        <w:gridCol w:w="5720"/>
      </w:tblGrid>
      <w:tr>
        <w:trPr/>
        <w:tc>
          <w:tcPr>
            <w:tcW w:w="125"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our ability to leverage our sales, marketing and training infrastructure;</w:t>
            </w:r>
          </w:p>
        </w:tc>
      </w:tr>
      <w:tr>
        <w:trPr/>
        <w:tc>
          <w:tcPr>
            <w:tcW w:w="12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grow our business through acquisitions of businesses, products or technologies, and the failure to manage acquisitions, or the failure to integrate them with our existing business;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obtain certain components of our products from third-party suppliers and our continued access to our product manufacturers;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5245" w:type="dxa"/>
        <w:jc w:val="left"/>
        <w:tblInd w:w="0" w:type="dxa"/>
        <w:tblLayout w:type="fixed"/>
        <w:tblCellMar>
          <w:top w:w="0" w:type="dxa"/>
          <w:left w:w="0" w:type="dxa"/>
          <w:bottom w:w="0" w:type="dxa"/>
          <w:right w:w="0" w:type="dxa"/>
        </w:tblCellMar>
      </w:tblPr>
      <w:tblGrid>
        <w:gridCol w:w="125"/>
        <w:gridCol w:w="5120"/>
      </w:tblGrid>
      <w:tr>
        <w:trPr/>
        <w:tc>
          <w:tcPr>
            <w:tcW w:w="125"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sz w:val="20"/>
              </w:rPr>
            </w:pPr>
            <w:r>
              <w:rPr>
                <w:sz w:val="20"/>
              </w:rPr>
              <w:t>our ability to improve our products and develop new products;</w:t>
            </w:r>
          </w:p>
        </w:tc>
      </w:tr>
    </w:tbl>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compliance with medical device reporting regulations to report adverse events involving our products, which could result in voluntary corrective actions or enforcement actions such as mandatory recalls, and the potential impact of such adverse events on our ability to market and sell our products;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8470" w:type="dxa"/>
        <w:jc w:val="left"/>
        <w:tblInd w:w="0" w:type="dxa"/>
        <w:tblLayout w:type="fixed"/>
        <w:tblCellMar>
          <w:top w:w="0" w:type="dxa"/>
          <w:left w:w="0" w:type="dxa"/>
          <w:bottom w:w="0" w:type="dxa"/>
          <w:right w:w="0" w:type="dxa"/>
        </w:tblCellMar>
      </w:tblPr>
      <w:tblGrid>
        <w:gridCol w:w="125"/>
        <w:gridCol w:w="8345"/>
      </w:tblGrid>
      <w:tr>
        <w:trPr/>
        <w:tc>
          <w:tcPr>
            <w:tcW w:w="125"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sz w:val="20"/>
              </w:rPr>
            </w:pPr>
            <w:r>
              <w:rPr>
                <w:sz w:val="20"/>
              </w:rPr>
              <w:t>our ability to gain and maintain regulatory approvals and to comply with any post-marketing requests;</w:t>
            </w:r>
          </w:p>
        </w:tc>
      </w:tr>
      <w:tr>
        <w:trPr/>
        <w:tc>
          <w:tcPr>
            <w:tcW w:w="12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the risk of a cybersecurity attack or incident relating to our information technology systems significantly disrupting our business operations;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maintain adequate protection of our intellectual property and to avoid violation of the intellectual property rights of others;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9040" w:type="dxa"/>
        <w:jc w:val="left"/>
        <w:tblInd w:w="0" w:type="dxa"/>
        <w:tblLayout w:type="fixed"/>
        <w:tblCellMar>
          <w:top w:w="0" w:type="dxa"/>
          <w:left w:w="0" w:type="dxa"/>
          <w:bottom w:w="0" w:type="dxa"/>
          <w:right w:w="0" w:type="dxa"/>
        </w:tblCellMar>
      </w:tblPr>
      <w:tblGrid>
        <w:gridCol w:w="125"/>
        <w:gridCol w:w="8915"/>
      </w:tblGrid>
      <w:tr>
        <w:trPr/>
        <w:tc>
          <w:tcPr>
            <w:tcW w:w="125"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sz w:val="20"/>
              </w:rPr>
            </w:pPr>
            <w:r>
              <w:rPr>
                <w:sz w:val="20"/>
              </w:rPr>
              <w:t>the impact of substantial sales of our shares by certain shareholders on the market price of our ordinary shares;</w:t>
            </w:r>
          </w:p>
        </w:tc>
      </w:tr>
      <w:tr>
        <w:trPr/>
        <w:tc>
          <w:tcPr>
            <w:tcW w:w="12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maintain compliance with the continued listing requirements of the Nasdaq Capital Market and the risk that our ordinary shares will be delisted if we cannot do so;</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6640" w:type="dxa"/>
        <w:jc w:val="left"/>
        <w:tblInd w:w="0" w:type="dxa"/>
        <w:tblLayout w:type="fixed"/>
        <w:tblCellMar>
          <w:top w:w="0" w:type="dxa"/>
          <w:left w:w="0" w:type="dxa"/>
          <w:bottom w:w="0" w:type="dxa"/>
          <w:right w:w="0" w:type="dxa"/>
        </w:tblCellMar>
      </w:tblPr>
      <w:tblGrid>
        <w:gridCol w:w="125"/>
        <w:gridCol w:w="6515"/>
      </w:tblGrid>
      <w:tr>
        <w:trPr/>
        <w:tc>
          <w:tcPr>
            <w:tcW w:w="125"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sz w:val="20"/>
              </w:rPr>
            </w:pPr>
            <w:r>
              <w:rPr>
                <w:sz w:val="20"/>
              </w:rPr>
              <w:t>our ability to effectively use the proceeds from our recent offerings of securities;</w:t>
            </w:r>
          </w:p>
        </w:tc>
      </w:tr>
      <w:tr>
        <w:trPr/>
        <w:tc>
          <w:tcPr>
            <w:tcW w:w="125"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our ability to repay amounts due, and perform our obligations under and comply with the terms and conditions of, our secured promissory notes;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the impact of the market price of our ordinary shares on the determination of whether we are a passive foreign investment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market and other conditions, including the extent to which inflationary pressures, interest rate and currency rate fluctuations, and changes in trade policies (including tariffs and trade protection measures that have been or may in the future be imposed by the U.S. or other countries), or global instability may disrupt our business operations or our financial condition or the financial condition of our customers and suppliers, including the ongoing Russia-Ukraine conflict, ongoing conflict in the Middle East (including any escalation or expansion) and the increasing tensions between China and Taiwan;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4885" w:type="dxa"/>
        <w:jc w:val="left"/>
        <w:tblInd w:w="0" w:type="dxa"/>
        <w:tblLayout w:type="fixed"/>
        <w:tblCellMar>
          <w:top w:w="0" w:type="dxa"/>
          <w:left w:w="0" w:type="dxa"/>
          <w:bottom w:w="0" w:type="dxa"/>
          <w:right w:w="0" w:type="dxa"/>
        </w:tblCellMar>
      </w:tblPr>
      <w:tblGrid>
        <w:gridCol w:w="125"/>
        <w:gridCol w:w="4760"/>
      </w:tblGrid>
      <w:tr>
        <w:trPr/>
        <w:tc>
          <w:tcPr>
            <w:tcW w:w="125"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sz w:val="20"/>
              </w:rPr>
            </w:pPr>
            <w:r>
              <w:rPr>
                <w:sz w:val="20"/>
              </w:rPr>
              <w:t>other factors discussed in the section titled “Risk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levels of activity, performance or achievements to be materially different from any future results, levels of activity, performance or achievements that may be expressed or implied by the forward-looking statements. All of the forward-looking statements included in this prospectus are based on information available to us as of the date of this prospectus and speak only as of the date hereof.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we are required to do so under U.S. federal securities laws or other applicable laws, we do not intend to update or revise any forward-looking statements, whether as a result of new information, future developments or otherwise.</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and is qualified in its entirety by, the more detailed information included elsewhere in this prospectus or incorporated by reference in the prospectus. This summary does not contain all of the information that you should consider before investing in our ordinary shares. You should read and carefully consider the entire prospectus, especially the “Risk Factors” section of this prospectus, before deciding to invest in our ordinary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all references in this prospectus to “we,” “us,” “our,” “Lifeward,” the “Company” and similar designations refer to Lifeward Ltd.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that designs, develops, and commercializes life-changing solutions that span the continuum of care in physical rehabilitation and recovery, delivering proven functional and health benefits in clinical settings as well as in the home and community, now complemented by a biomedical pipeline. Our initial product offerings were the ReWalk Personal and ReWalk Rehabilitation Exoskeleton devices for individuals with spinal cord injury (“SCI Products”). These devices are robotic exoskeletons that are designed for individuals with paraplegia that use our patented tilt-sensor technology and an onboard computer and motion sensors to drive motorized legs that power movement. These SCI Products allow individuals with spinal cord injury the ability to stand and walk again during everyday activities at home or in the community. In March 2023, we received clearance of our premarket notification (“510(k)”) from the U.S. Food and Drug Administration (“FDA”) for the ReWalk Personal Exoskeleton with stair and curb functionality, which adds usage on stairs and curbs to the indication for use for the device in the U.S. The clearance permits U.S. customers to participate in more walking activities in real-world environments in their daily lives where stairs or curbs may have previously limited them when using the exoskeleton for its intended, FDA-indicated uses. This feature has been available in Europe since initial CE Clearance, and real-world data from a cohort of 47 European users throughout a period of over seven years consisting of over 18,000 stair steps, were collected to demonstrate the safety and efficacy of this feature and support the FDA submission. In March 2025, we received 510(k) clearance from the U.S. Food and Drug Administration for the ReWalk 7 Personal Exoskeleton device, a next-generation ReWalk model.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sought to expand our product offerings beyond the SCI Products through internal development, distribution agreements, and acquisitions. We have developed our ReStore Exo-Suit device, which we began commercializing in June 2019. The ReStore is a powered, lightweight soft exo-suit intended for use during the rehabilitation of individuals with lower limb disabilities due to stroke. We are no longer actively commercializing the ReStore product. In the second quarter of 2020, we signed an agreement to become the exclusive distributor of the MYOLYN MyoCycle FES Pro cycles to U.S. rehabilitation clinics and for the MyoCycle Home cycles available to U.S. veterans through Veterans Health Administration hospitals. We continue to distribute these products; however, our distribution rights are no longer exclusive.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we made our first acquisition to supplement our internal growth when we acquired AlterG, a leading provider of Anti-Gravity systems for use in physical and neurological rehabilitation. We paid a cash purchase price of approximately $19 million at closing. The purchase agreement also provided for the potential of additional cash earnout payments based on AlterG’s revenue growth over the two years following the closing; however, no earnout payments were earned. The AlterG Anti-Gravity systems use patented, National Aeronautics and Space Administration derived differential air pressure technology to reduce the effects of gravity and allow patients to rehabilitate with finely calibrated support and reduced pain. AlterG Anti-Gravity systems are utilized in over 6,000 facilities globally in more than 40 countries. Following our rebranding, AlterG, Inc. was renamed Lifeward CA, Inc. and operates as a wholly owned subsidiary of the Company. We will continue to evaluate other products for distribution or acquisition that can broaden our product offerings further to help individuals with injury and disability.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expanded our strategic initiatives into biomedical technologies through the acquisition of Oratech Pharmaceuticals Ltd. ("Oratech"), a wholly owned subsidiary focused on the development and commercialization of innovative pharmaceutical technologies and clinical-stage assets. As part of the transaction, we acquired intellectual property and related rights associated with ORMD-0801, an oral insulin candidate based on proprietary oral delivery technology, together with certain rights related to the management of future clinical development activities.</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legal name is Lifeward Ltd. Our name was previously ReWalk Robotics Ltd., which we changed to Lifeward Ltd. effective September 10, 2024. We are a company limited by shares organized under the laws of the State of Israel and were founded in 2001. In September 2014, we listed our shares on The Nasdaq Global Market, and in May 2017 we transferred our listing to The Nasdaq Capital Market. We have irrevocably appointed Lifeward, Inc. as our agent to receive service of process in any action against us in any United States federal or state court. The address of Lifeward, Inc. is 2 Cabot Rd., Hudson, Massachusetts 01749.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Lifeward®, ReWalk®, ReStore® and AlterG® are our registered trademarks in Israel and in the United States and Restore™ is our registered trademark in Europe and the United States. Other trademarks and service marks appearing in this prospectus are the property of their respective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and Warrant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we entered into a Securities Purchase Agreement (the "Note Purchase Agreement”) with each of the purchasers thereto (collectively, the "Purchasers"), and Oramed Pharmaceuticals Inc., as collateral agent for the Purchasers (the "Agent"), pursuant to which we agreed to issue and sell to the Purchasers, and each Purchaser severally and not jointly agreed to purchase from us, senior secured convertible notes and accompanying ordinary share purchase warrants, in each case in reliance on the exemption from registration provided by Section 4(a)(2) of the Securities Act and Rule 506 of Regulation D promulgated thereunder.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initial closing of the Note Purchase Agreement on July 6, 2026, we issued to the Purchasers (i) $5,580,000 aggregate principal amount of senior secured convertible notes (the "Initial Notes"), convertible into ordinary shares at a conversion price of $5.40 per share, subject to adjustment as provided in the Initial Notes, and (ii) accompanying warrants to purchase ordinary shares (the "Initial Warrants"), exercisable immediately upon issuance at an exercise price of $5.40 per share, subject to adjustment, and having a term of five (5) years from the date of issuance. The Initial Notes bear interest at a rate of eight percent (8%) per annum, payable semi-annually in arrears, and mature on the date that is three (3) years from the Original Issue Date (as defined in the Initial Notes).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Note Purchase Agreement, we also agreed to issue to the Purchasers, subject to the satisfaction of certain conditions, (i) $5,580,000 aggregate principal amount of additional senior secured convertible notes (the "Additional Notes," and together with the Initial Notes, the “Notes"), convertible into ordinary shares, and (ii) accompanying additional warrants to purchase ordinary shares (the "Additional Warrants," and together with the Initial Warrants, the "Warrants"). The funding of the Additional Notes is subject to customary closing conditions and either (i) us achieving, as of the most recently completed fiscal quarter end for which we have publicly filed or furnished financial statements, at least a one hundred fifty percent (150%) increase in ReWalk Unit Sales (as defined in the Note Purchase Agreement), measured in U.S. dollars, relative to the trailing twelve--month period immediately preceding the Additional Closing Date (as defined in the Note Purchase Agreement), or (ii) the closing price of our ordinary shares on the Trading Market (as defined in the Note Purchase Agreement) equaling or exceeding $13.80 per share (which amount may be adjusted for certain capital events, such as stock splits following the date of the Note Purchase Agreement) on each Trading Day (as defined in the Note Purchase Agreement) during the ten (10) consecutive Trading Days immediately prior to the Additional Closing Date. The Initial Notes are convertible into 1,033,331 ordinary shares and the Initial Warrants are exercisable for an aggregate of 1,033,331 ordinary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Initial Warrants, and the ordinary shares issuable upon conversion or exercise thereof, were issued to accredited investors for investment purposes and have not been registered under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Note Purchase Agreement, refer to the summary included under Item 1.01 of our Current Report on Form 8-K filed with the SEC on July 7, 2026, which is incorporated by reference herein.</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4220"/>
        <w:gridCol w:w="1625"/>
      </w:tblGrid>
      <w:tr>
        <w:trPr/>
        <w:tc>
          <w:tcPr>
            <w:tcW w:w="4220" w:type="dxa"/>
            <w:tcBorders/>
            <w:vAlign w:val="center"/>
          </w:tcPr>
          <w:p>
            <w:pPr>
              <w:pStyle w:val="TableContents"/>
              <w:bidi w:val="0"/>
              <w:spacing w:before="0" w:after="283"/>
              <w:jc w:val="left"/>
              <w:rPr>
                <w:sz w:val="20"/>
              </w:rPr>
            </w:pPr>
            <w:r>
              <w:rPr>
                <w:sz w:val="20"/>
              </w:rPr>
              <w:t>Ordinary Shares offered by the Selling Shareholders</w:t>
            </w:r>
          </w:p>
        </w:tc>
        <w:tc>
          <w:tcPr>
            <w:tcW w:w="1625" w:type="dxa"/>
            <w:tcBorders/>
            <w:vAlign w:val="center"/>
          </w:tcPr>
          <w:p>
            <w:pPr>
              <w:pStyle w:val="TableContents"/>
              <w:bidi w:val="0"/>
              <w:spacing w:before="0" w:after="283"/>
              <w:jc w:val="left"/>
              <w:rPr>
                <w:sz w:val="20"/>
              </w:rPr>
            </w:pPr>
            <w:r>
              <w:rPr>
                <w:sz w:val="20"/>
              </w:rPr>
              <w:t>2,066,662 shares(1)</w:t>
            </w:r>
          </w:p>
        </w:tc>
      </w:tr>
      <w:tr>
        <w:trPr/>
        <w:tc>
          <w:tcPr>
            <w:tcW w:w="422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395"/>
        <w:gridCol w:w="8810"/>
      </w:tblGrid>
      <w:tr>
        <w:trPr/>
        <w:tc>
          <w:tcPr>
            <w:tcW w:w="1395" w:type="dxa"/>
            <w:tcBorders/>
            <w:vAlign w:val="center"/>
          </w:tcPr>
          <w:p>
            <w:pPr>
              <w:pStyle w:val="TableContents"/>
              <w:bidi w:val="0"/>
              <w:spacing w:before="0" w:after="283"/>
              <w:jc w:val="left"/>
              <w:rPr>
                <w:sz w:val="20"/>
              </w:rPr>
            </w:pPr>
            <w:r>
              <w:rPr>
                <w:sz w:val="20"/>
              </w:rPr>
              <w:t>Terms of the offering</w:t>
            </w:r>
          </w:p>
        </w:tc>
        <w:tc>
          <w:tcPr>
            <w:tcW w:w="8810" w:type="dxa"/>
            <w:tcBorders/>
            <w:vAlign w:val="center"/>
          </w:tcPr>
          <w:p>
            <w:pPr>
              <w:pStyle w:val="TableContents"/>
              <w:bidi w:val="0"/>
              <w:spacing w:before="0" w:after="283"/>
              <w:jc w:val="left"/>
              <w:rPr>
                <w:sz w:val="20"/>
              </w:rPr>
            </w:pPr>
            <w:r>
              <w:rPr>
                <w:sz w:val="20"/>
              </w:rPr>
              <w:t>The Selling Shareholders will determine when and how they will sell the ordinary shares offered in this prospectus, as described in “Plan of Distribution.”</w:t>
            </w:r>
          </w:p>
        </w:tc>
      </w:tr>
      <w:tr>
        <w:trPr/>
        <w:tc>
          <w:tcPr>
            <w:tcW w:w="1395"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283"/>
              <w:jc w:val="left"/>
              <w:rPr/>
            </w:pPr>
            <w:r>
              <w:rPr/>
              <w:t> </w:t>
            </w:r>
          </w:p>
        </w:tc>
      </w:tr>
    </w:tbl>
    <w:tbl>
      <w:tblPr>
        <w:tblW w:w="9145" w:type="dxa"/>
        <w:jc w:val="left"/>
        <w:tblInd w:w="0" w:type="dxa"/>
        <w:tblLayout w:type="fixed"/>
        <w:tblCellMar>
          <w:top w:w="0" w:type="dxa"/>
          <w:left w:w="0" w:type="dxa"/>
          <w:bottom w:w="0" w:type="dxa"/>
          <w:right w:w="0" w:type="dxa"/>
        </w:tblCellMar>
      </w:tblPr>
      <w:tblGrid>
        <w:gridCol w:w="1310"/>
        <w:gridCol w:w="7835"/>
      </w:tblGrid>
      <w:tr>
        <w:trPr/>
        <w:tc>
          <w:tcPr>
            <w:tcW w:w="1310" w:type="dxa"/>
            <w:tcBorders/>
            <w:vAlign w:val="center"/>
          </w:tcPr>
          <w:p>
            <w:pPr>
              <w:pStyle w:val="TableContents"/>
              <w:bidi w:val="0"/>
              <w:spacing w:before="0" w:after="283"/>
              <w:jc w:val="left"/>
              <w:rPr>
                <w:sz w:val="20"/>
              </w:rPr>
            </w:pPr>
            <w:r>
              <w:rPr>
                <w:sz w:val="20"/>
              </w:rPr>
              <w:t>Use of proceeds</w:t>
            </w:r>
          </w:p>
        </w:tc>
        <w:tc>
          <w:tcPr>
            <w:tcW w:w="7835" w:type="dxa"/>
            <w:tcBorders/>
            <w:vAlign w:val="center"/>
          </w:tcPr>
          <w:p>
            <w:pPr>
              <w:pStyle w:val="TableContents"/>
              <w:bidi w:val="0"/>
              <w:spacing w:before="0" w:after="283"/>
              <w:jc w:val="left"/>
              <w:rPr>
                <w:sz w:val="20"/>
              </w:rPr>
            </w:pPr>
            <w:r>
              <w:rPr>
                <w:sz w:val="20"/>
              </w:rPr>
              <w:t>We will not receive any proceeds from the sale of the ordinary shares covered by this prospectus.</w:t>
            </w:r>
          </w:p>
        </w:tc>
      </w:tr>
      <w:tr>
        <w:trPr/>
        <w:tc>
          <w:tcPr>
            <w:tcW w:w="131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928"/>
        <w:gridCol w:w="9277"/>
      </w:tblGrid>
      <w:tr>
        <w:trPr/>
        <w:tc>
          <w:tcPr>
            <w:tcW w:w="928" w:type="dxa"/>
            <w:tcBorders/>
            <w:vAlign w:val="center"/>
          </w:tcPr>
          <w:p>
            <w:pPr>
              <w:pStyle w:val="TableContents"/>
              <w:bidi w:val="0"/>
              <w:spacing w:before="0" w:after="283"/>
              <w:jc w:val="left"/>
              <w:rPr>
                <w:sz w:val="20"/>
              </w:rPr>
            </w:pPr>
            <w:r>
              <w:rPr>
                <w:sz w:val="20"/>
              </w:rPr>
              <w:t>Risk factors</w:t>
            </w:r>
          </w:p>
        </w:tc>
        <w:tc>
          <w:tcPr>
            <w:tcW w:w="9277" w:type="dxa"/>
            <w:tcBorders/>
            <w:vAlign w:val="center"/>
          </w:tcPr>
          <w:p>
            <w:pPr>
              <w:pStyle w:val="TableContents"/>
              <w:bidi w:val="0"/>
              <w:spacing w:before="0" w:after="283"/>
              <w:jc w:val="left"/>
              <w:rPr>
                <w:sz w:val="20"/>
              </w:rPr>
            </w:pPr>
            <w:r>
              <w:rPr>
                <w:sz w:val="20"/>
              </w:rPr>
              <w:t>See “Risk Factors” on page 7 for a discussion of factors you should carefully consider before deciding to invest in our ordinary shares.</w:t>
            </w:r>
          </w:p>
        </w:tc>
      </w:tr>
      <w:tr>
        <w:trPr/>
        <w:tc>
          <w:tcPr>
            <w:tcW w:w="928"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r>
              <w:rPr/>
              <w:t> </w:t>
            </w:r>
          </w:p>
        </w:tc>
      </w:tr>
    </w:tbl>
    <w:tbl>
      <w:tblPr>
        <w:tblW w:w="3130" w:type="dxa"/>
        <w:jc w:val="left"/>
        <w:tblInd w:w="0" w:type="dxa"/>
        <w:tblLayout w:type="fixed"/>
        <w:tblCellMar>
          <w:top w:w="0" w:type="dxa"/>
          <w:left w:w="0" w:type="dxa"/>
          <w:bottom w:w="0" w:type="dxa"/>
          <w:right w:w="0" w:type="dxa"/>
        </w:tblCellMar>
      </w:tblPr>
      <w:tblGrid>
        <w:gridCol w:w="2555"/>
        <w:gridCol w:w="575"/>
      </w:tblGrid>
      <w:tr>
        <w:trPr/>
        <w:tc>
          <w:tcPr>
            <w:tcW w:w="2555" w:type="dxa"/>
            <w:tcBorders/>
            <w:vAlign w:val="center"/>
          </w:tcPr>
          <w:p>
            <w:pPr>
              <w:pStyle w:val="TableContents"/>
              <w:bidi w:val="0"/>
              <w:spacing w:before="0" w:after="283"/>
              <w:jc w:val="left"/>
              <w:rPr>
                <w:sz w:val="20"/>
              </w:rPr>
            </w:pPr>
            <w:r>
              <w:rPr>
                <w:sz w:val="20"/>
              </w:rPr>
              <w:t>Nasdaq Capital Market symbol</w:t>
            </w:r>
          </w:p>
        </w:tc>
        <w:tc>
          <w:tcPr>
            <w:tcW w:w="575" w:type="dxa"/>
            <w:tcBorders/>
            <w:vAlign w:val="center"/>
          </w:tcPr>
          <w:p>
            <w:pPr>
              <w:pStyle w:val="TableContents"/>
              <w:bidi w:val="0"/>
              <w:spacing w:before="0" w:after="283"/>
              <w:jc w:val="left"/>
              <w:rPr>
                <w:sz w:val="20"/>
              </w:rPr>
            </w:pPr>
            <w:r>
              <w:rPr>
                <w:sz w:val="20"/>
              </w:rPr>
              <w:t>LFWD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 xml:space="preserve">(1) </w:t>
            </w:r>
          </w:p>
        </w:tc>
        <w:tc>
          <w:tcPr>
            <w:tcW w:w="9969" w:type="dxa"/>
            <w:tcBorders/>
            <w:vAlign w:val="center"/>
          </w:tcPr>
          <w:p>
            <w:pPr>
              <w:pStyle w:val="TableContents"/>
              <w:bidi w:val="0"/>
              <w:spacing w:before="0" w:after="283"/>
              <w:jc w:val="left"/>
              <w:rPr/>
            </w:pPr>
            <w:r>
              <w:rPr/>
              <w:t> </w:t>
            </w:r>
            <w:r>
              <w:rPr>
                <w:sz w:val="20"/>
              </w:rPr>
              <w:t>Includes 1,033,331 ordinary shares issuable upon conversion of the Initial Notes and 1,033,331 ordinary shares issuable upon exercise of the Initial Warrants. The ordinary shares are issuable upon the conversion of the Initial Notes and the exercise of the Initial Warrants held by the Selling Shareholders named in this prospectus.</w:t>
            </w:r>
          </w:p>
        </w:tc>
      </w:tr>
    </w:tbl>
    <w:p>
      <w:pPr>
        <w:pStyle w:val="TextBody"/>
        <w:bidi w:val="0"/>
        <w:spacing w:before="0" w:after="0"/>
        <w:ind w:left="0" w:right="0" w:hanging="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a high degree of risk. Before making an investment decision, you should carefully consider the risks described in the section entitled “Risk Factors” in our most recent Annual Report on Form 10-K, as filed with the SEC, which is incorporated herein by reference in its entirety, as well as any amendments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the registration statement of which this prospectus is a part to permit the holders of the ordinary shares described in the section entitled “Selling Shareholders” to resell such ordinary shares. We are not selling any securities under this prospectus and we will not receive any proceeds from the sale of ordinary shares by the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pay any discounts, commissions, fees of underwriters, selling brokers or dealer managers and expenses incurred by the Selling Shareholders for brokerage, accounting, tax or legal services or any other expenses incurred by the Selling Shareholders in disposing of the ordinary shares. We will bear all other costs, fees and expenses incurred in effecting the registration of the ordinary shares covered by this prospectus, including, without limitation, all registration and filing fees, printing fees, Nasdaq listing fees and fees and expenses of our counsel and our accountants.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Initial Warrants are not obligated to exercise the warrants, and we cannot predict whether the holders of such warrants will choose to exercise such warrants. We may receive proceeds from any cash exercise of the Initial Warrants. We currently intend to use such proceeds, if any, for general corporate purposes.</w:t>
      </w:r>
    </w:p>
    <w:p>
      <w:pPr>
        <w:pStyle w:val="TextBody"/>
        <w:bidi w:val="0"/>
        <w:spacing w:before="0" w:after="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ordinary shares is a summary and is qualified in its entirety by reference to our Eighth Amended and Restated Articles of Association, or our Articles of Association. Our Articles of Association are filed as Exhibit 3.1 to this prospectus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currently consists solely of 100,000,000 ordinary shares, no par value per share. 2,828,362 ordinary shares were issued and outstanding as of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not redeemable and do not have 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required for our general meetings of shareholders consists of at least two holders of our ordinary shares present in person or by proxy and holding among them at least 33 1/3% of the total outstanding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holders of our ordinary shares have one vote for each ordinary share held on all matters submitted to a vote before the shareholders at a general meeting. Shareholders may vote at a general meeting either in person, by proxy or by written ballot.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all resolutions of our shareholders require a simple majority vote, unless otherwise required by the Israel Companies Law, 5799-1999 (the “Israel Companies Law”) or by our Articles of Association. Under the Israel Companies Law, each of (i) the approval of an extraordinary transaction with a controlling shareholder, (ii) the terms of employment or other engagement of the controlling shareholder of the company or such controlling shareholder’s relative (even if not extraordinary), (iii) the adoption or amendment of a Compensation Policy, and (iv) the approval of the terms of employment of our chief executive officer, requires special approval. For more information, see our Registration Statement on Form 8-A as filed with the SEC on September 2, 2014 under the heading “Item 1. Description of Registrant’s Securities to be Registered.” Under our Articles of Association, the alteration of the rights, privileges, preferences or obligations of any class of our shares requires a simple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In addition, the voluntary winding up, or approval of a scheme of arrangement or reorganization, of the Company pursuant to Section 350 of the Israel Companies Law, requires the approval of holders of 75% of the voting rights represented at the meeting, in person, by proxy or by voting deed and voting on the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shareholders resolution, provide for shares with such preferred or deferred rights or rights of redemption or other special rights and/or such restrictions, whether in regard to dividends, voting, repayment of share capital or otherwise, as may be stipulated in such resolution (subject to the provisions of the Israel Companies Law). The rights of the holders of ordinary shares will be subject to, and may be adversely affected by, the rights of holders of any preferred stock that may be issued in the future. As of the date of the filing of this registration statement, we had no shares of preferred stock outstanding.</w:t>
      </w:r>
    </w:p>
    <w:p>
      <w:pPr>
        <w:pStyle w:val="TextBody"/>
        <w:bidi w:val="0"/>
        <w:spacing w:before="0" w:after="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 Share Ownership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 paid ordinary shares are issued in registered form and may be freely transferred under our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board of directors must consist of not less than five but no more than thirteen directors, including two external directors as and if required by the Israel Companies Law. Pursuant to our Articles of Association, other than the external directors, for whom special election requirements apply under the Israel Companies Law, the vote required to appoint a director is a simple majority vote of holders of our voting shares, participating and voting at the relevant meeting. In addition, our directors, other than the external directors, are divided into three classes that are each elected at a general meeting of our shareholders every three years, in a staggered fashion (such that one class is elected each year), and serve on our board of directors unless they are removed by a vote of 65% of the total voting power of our shareholders at a general or special meeting of our shareholders or upon the occurrence of certain events, in accordance with the Israel Companies Law and our Articles of Association. In addition, our Articles of Association allow our board of directors to appoint new directors and appoint directors to fill vacancies on the board of directors to serve for a term of office equal to the remaining period of the term of office of the directors(s) whose office(s) have been vacated.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we are currently required to have at least two external directors. External directors must meet stringent standards of independence from us, from our management and from any controlling shareholder (within the meaning of the Israeli Companies Law).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to election by the normal majority vote, external directors must generally be elected by a majority vote of the shares held by shareholders other than controlling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are elected for an initial term of three years, may be elected for additional terms of three years each under certain circumstances and may be removed from office only pursuant to the terms of the Israel Companies Law. The Israel Companies Law prescribes requirements relating to the inclusion and role of the external directors on our audit and compensation committee, and the inclusion of the external directors in all committees of the board of directors.</w:t>
      </w:r>
    </w:p>
    <w:p>
      <w:pPr>
        <w:pStyle w:val="TextBody"/>
        <w:bidi w:val="0"/>
        <w:spacing w:before="0" w:after="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Israel Companies Law, we may declare a dividend to be paid to the holders of our ordinary shares in proportion to their respective shareholdings. Under the Israel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 Companies Law, a company may make a distribution of dividends out of its profits on the condition that there is no reasonable concern that the distribution may prevent the company from meeting its existing and expected obligations when they fall due. The Israel Companies Law defines such profit as retained earnings or profits accrued in the last two years, whichever is greater, according to the last reviewed or audited financial statements of the company, provided that the date of the financial statements is not more than six months before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Articles of Association as extraordinary general meetings. Our board of directors may call extraordinary general meetings whenever it sees fit, at such time and place, within or outside of Israel, as it may determine. In addition, the Israel Companies Law provides that our board of directors is required to convene an extraordinary general meeting upon the written request of (i) any two of our directors or one-quarter of the members of our board of directors or (ii) one or more shareholders holding, in the aggregate, at least ten percent of our outstanding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Israel Companies Law and the regulations promulgated thereunder, shareholders entitled to participate and vote at general meetings are the shareholders of record on a date to be decided by the board of directors, which may be between four and 60 days prior to the date of the meeting. Furthermore, the Israel Companies Law requires that resolutions regarding the following matters be passed at a general meeting of our shareholders:</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25"/>
        <w:gridCol w:w="3530"/>
      </w:tblGrid>
      <w:tr>
        <w:trPr/>
        <w:tc>
          <w:tcPr>
            <w:tcW w:w="125"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sz w:val="20"/>
              </w:rPr>
            </w:pPr>
            <w:r>
              <w:rPr>
                <w:sz w:val="20"/>
              </w:rPr>
              <w:t>amendments to our Articles of Association;</w:t>
            </w:r>
          </w:p>
        </w:tc>
      </w:tr>
      <w:tr>
        <w:trPr/>
        <w:tc>
          <w:tcPr>
            <w:tcW w:w="12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appointment or termination of our auditors;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appointment of external directors;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approval of certain related party transactions;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increases or reductions of our authorized share capital;</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pPr>
            <w:r>
              <w:rPr/>
              <w:t> </w:t>
            </w:r>
            <w:r>
              <w:rPr>
                <w:sz w:val="20"/>
              </w:rPr>
              <w:t>a merger; and</w:t>
            </w:r>
            <w:r>
              <w:rPr/>
              <w:t xml:space="preserve">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pPr>
            <w:r>
              <w:rPr/>
              <w:t>the exercise of our board of directors’ powers by a general meeting, if our board of directors is unable to exercise its powers and the exercise of any of its powers is required for our proper management</w:t>
            </w:r>
            <w:r>
              <w:rPr>
                <w:rFonts w:ascii="Times New Roman;Times;Serif" w:hAnsi="Times New Roman;Times;Serif"/>
              </w:rPr>
              <w:t>.</w:t>
            </w:r>
            <w:r>
              <w:rPr/>
              <w:t xml:space="preserve"> </w:t>
            </w:r>
          </w:p>
        </w:tc>
      </w:tr>
    </w:tbl>
    <w:p>
      <w:pPr>
        <w:pStyle w:val="TextBody"/>
        <w:bidi w:val="0"/>
        <w:spacing w:before="0" w:after="0"/>
        <w:ind w:left="0" w:right="0" w:hanging="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and our Articles of Association require that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and under our Articles of Association, our shareholders are not permitted to take action via written consent in lieu of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Corporate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shareholders generally have the right to review: minutes of our general meetings; our shareholders register and principal shareholders register; our Articles of Association; our annual financial statements; and any document that we are required by law to file publicly with the Israel Companies Registrar or the Israel Securities Authority. In addition, shareholders may request to be provided with any document related to an action or transaction with a related party that requires shareholder approval under the related party transaction provisions of the Israel Companies Law. We may deny a request to review a document if we believe it has not been made in good faith, that the document contains a trade secret or patent or that the document’s disclosure may otherwise impair 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Under Israeli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Full Tender Offer</w:t>
      </w:r>
      <w:r>
        <w:rPr>
          <w:rFonts w:ascii="Times New Roman;Times;Serif" w:hAnsi="Times New Roman;Times;Serif"/>
          <w:b w:val="false"/>
          <w:i w:val="false"/>
          <w:caps w:val="false"/>
          <w:smallCaps w:val="false"/>
          <w:sz w:val="20"/>
        </w:rPr>
        <w:t>. A person wishing to acquire shares of an Israeli public company and who would as a result hold over 90% of the target company’s issued and outstanding share capital (or of a class thereof) is required by the Israel Companies Law to make a tender offer to all of the company’s shareholders for the purchase of all of the issued and outstanding shares of the company (or the applicable class). If as a result of a full tender offer the purchaser would own more than 95% of the issued and outstanding share capital of the company or of the applicable class, and more than half of the shareholders who do not have a personal interest in the offer accept the offer, all of the shares that the purchaser offered to purchase will be transferred to the acquirer by operation of law. The law provides for appraisal rights if any shareholder files a request in court within six months following the consummation of a full tender offer, provided that the purchaser is entitled to stipulate that tendering shareholders forfeit their appraisal rights. If as a result of a full tender offer the purchaser would own 95% or less of the issued and outstanding share capital of the company or of the applicable class, the purchaser may not acquire shares that will cause its shareholding to exceed 90% of the issued and outstanding share capital of the company or of the applicable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Tender Offer</w:t>
      </w:r>
      <w:r>
        <w:rPr>
          <w:rFonts w:ascii="Times New Roman;Times;Serif" w:hAnsi="Times New Roman;Times;Serif"/>
          <w:b w:val="false"/>
          <w:i w:val="false"/>
          <w:caps w:val="false"/>
          <w:smallCaps w:val="false"/>
          <w:sz w:val="20"/>
        </w:rPr>
        <w:t>. The Israel Companies Law provides that an acquisition of shares of an Israeli public company must be made by means of a special tender offer if as a result of the acquisition the purchaser would become a holder of 25% or more of the voting rights in the company, unless there is already another holder of at least 25% of the voting rights in the company. Similarly, the Israel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controlling shareholders, holders of 25% or more of the voting rights in the company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w:t>
      </w:r>
      <w:r>
        <w:rPr>
          <w:rFonts w:ascii="Times New Roman;Times;Serif" w:hAnsi="Times New Roman;Times;Serif"/>
          <w:b w:val="false"/>
          <w:i w:val="false"/>
          <w:caps w:val="false"/>
          <w:smallCaps w:val="false"/>
          <w:sz w:val="20"/>
        </w:rPr>
        <w:t>. The Israel Companies Law permits merger transactions if approved by each party’s board of directors and, unless certain requirements described under the Israel Companies Law are met, by a majority vote of each party’s shares, and, in the case of the target company, a majority vote of each class of its shares, voted on the proposed merger at a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merger may not be consummated unless at least 50 days have passed from the date on which a proposal for approval of the merger was filed by each party with the Israeli Companies Registrar and at least 30 days have passed from the date on which the merger was approved by the shareholders of each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Measures Under Israeli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allows us to create and issue shares having rights different from those attached to our ordinary shares, including shares providing certain preferred rights with respect to voting, distributions or other matters and shares having preemptive rights. Upon the closing of our initial public offering, our Articles of Association were amended to provide that no preferred shares are authorized.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 Companies Law as described above in “- Vote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Equiniti Trust Company, LLC. Its address is 6201 15th Avenue, Brooklyn, New York 11219, and its telephone number is (800) 937-5449.</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Shareholders include 2,066,662 ordinary shares, consisting of 1,033,331 ordinary shares issuable upon conversion of the Initial Notes and 1,033,331 ordinary shares issuable upon exercise of the Initial Warrants. For additional information regarding the issuances of those ordinary shares and warrants, see “Prospectus Summary — Note and Warrant Financing" above. When we refer to the “Selling Shareholders” in this prospectus, we mean the persons and entities listed in the table below, and their respective transferees, donees, pledgees, assignees and successors-in-interest who later come to hold any of the Selling Shareholders’ interests in ordinary shares other than through a public sale.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ordinary shares by each of the Selling Shareholders. The second column lists the number of ordinary shares beneficially owned by each Selling Shareholder as of July 31, 2026, based on its ownership of the ordinary shares, Initial Notes and Initial Warrants, assuming exercise or conversion, as applicable, of the Initial Notes and Initial Warrants held by the Selling Shareholders, without regard to any limitations on exercises. The fourth column lists the ordinary shares being offered by this prospectus by the Selling Shareholders.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the maximum number of ordinary shares issuable upon exercise or conversion, as applicable, of the Initial Notes and Initial Warrants, determined as if the outstanding warrants and notes were exercised or converted, as applicable, in full as of July 31, 2026, without regard to any limitations on the exercise of the securities, as described below. The fifth column assumes the sale of all ordinary shares and all of the ordinary shares underlying the securities offered by the Selling Shareholders pursuant to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Initial Notes and Initial Warrants, a Selling Shareholder may not exercise or convert such securities to the extent such exercise or conversion would cause such Selling Shareholder, together with its affiliates and attribution parties, to beneficially own a number of ordinary shares which would exceed 4.99% of the number of ordinary shares outstanding immediately after giving effect to the issuance of ordinary shares issuable upon exercise or conversion, as applicable, of such securities (the "Beneficial Ownership Limitation"). Upon notice to us, the holder of an Initial Note or Initial Warrant may increase or decrease such Beneficial Ownership Limitation, provided that the Beneficial Ownership Limitation in no event exceeds 4.99% of the number of ordinary shares outstanding immediately after giving effect to the issuance of ordinary shares issuable upon exercise or conversion, as applicable, of such securities, and any such increase will not be effective until the sixty-first (61st) day after such notice is delivered to us.</w:t>
      </w:r>
    </w:p>
    <w:p>
      <w:pPr>
        <w:pStyle w:val="TextBody"/>
        <w:bidi w:val="0"/>
        <w:spacing w:before="0" w:after="0"/>
        <w:jc w:val="center"/>
        <w:rPr>
          <w:bdr w:val="single" w:sz="8" w:space="1" w:color="000000"/>
        </w:rPr>
      </w:pPr>
      <w:r>
        <w:rPr>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table below and the footnotes thereto regarding our ordinary shares to be beneficially owned after the offering assumes the sale of all ordinary shares being offered by the Selling Shareholders under this prospectus. This information has been obtained from the Selling Shareholders. The percentages of ordinary shares owned before and after the offering are based on 4,902,374 ordinary shares, which includes the ordinary shares and the ordinary shares underlying the securities offered by the Selling Shareholders pursuant to this prospectus. In computing the number of ordinary shares beneficially owned by an entity and the percentage ownership of that entity, we deemed outstanding ordinary shares issuable upon the conversion of the Initial Notes and the exercise of the Initial Warrants held by that Selling Shareholder that are exercisable or convertible within 60 days of July 31, 2026, subject to the beneficial ownership limitation discussed above. We did not deem these ordinary shares outstanding, however, for the purpose of computing the percentage ownership of any other entity.</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7"/>
        <w:gridCol w:w="60"/>
        <w:gridCol w:w="74"/>
        <w:gridCol w:w="1218"/>
        <w:gridCol w:w="60"/>
        <w:gridCol w:w="60"/>
        <w:gridCol w:w="93"/>
        <w:gridCol w:w="872"/>
        <w:gridCol w:w="215"/>
        <w:gridCol w:w="60"/>
        <w:gridCol w:w="128"/>
        <w:gridCol w:w="2112"/>
        <w:gridCol w:w="60"/>
        <w:gridCol w:w="60"/>
        <w:gridCol w:w="60"/>
        <w:gridCol w:w="1293"/>
        <w:gridCol w:w="60"/>
        <w:gridCol w:w="60"/>
        <w:gridCol w:w="60"/>
        <w:gridCol w:w="1040"/>
        <w:gridCol w:w="233"/>
      </w:tblGrid>
      <w:tr>
        <w:trPr/>
        <w:tc>
          <w:tcPr>
            <w:tcW w:w="23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Before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After Offering</w:t>
            </w:r>
          </w:p>
        </w:tc>
        <w:tc>
          <w:tcPr>
            <w:tcW w:w="233" w:type="dxa"/>
            <w:tcBorders/>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283"/>
              <w:jc w:val="left"/>
              <w:rPr>
                <w:b/>
              </w:rPr>
            </w:pPr>
            <w:r>
              <w:rPr>
                <w:b/>
              </w:rPr>
              <w:t>Name of Selling Shareholder</w:t>
            </w:r>
          </w:p>
        </w:tc>
        <w:tc>
          <w:tcPr>
            <w:tcW w:w="60" w:type="dxa"/>
            <w:tcBorders/>
            <w:shd w:fill="FFFFFF" w:val="clear"/>
            <w:vAlign w:val="center"/>
          </w:tcPr>
          <w:p>
            <w:pPr>
              <w:pStyle w:val="TableContents"/>
              <w:bidi w:val="0"/>
              <w:spacing w:before="0" w:after="283"/>
              <w:jc w:val="left"/>
              <w:rPr/>
            </w:pPr>
            <w:r>
              <w:rPr/>
              <w:t> </w:t>
            </w:r>
          </w:p>
        </w:tc>
        <w:tc>
          <w:tcPr>
            <w:tcW w:w="12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 of</w:t>
              <w:br/>
              <w:t>Ordinary Shares</w:t>
              <w:br/>
              <w:t>Beneficially</w:t>
              <w:br/>
              <w:t>Owned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Percentage</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Shares of Ordinary Shares Offered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 of</w:t>
              <w:br/>
              <w:t>Ordinary Shares</w:t>
              <w:br/>
              <w:t>Beneficially</w:t>
              <w:br/>
              <w:t>Owned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Percentage</w:t>
              <w:br/>
              <w:t>of Shares</w:t>
              <w:br/>
              <w:t>Beneficially</w:t>
              <w:br/>
              <w:t>Owned</w:t>
            </w:r>
          </w:p>
        </w:tc>
        <w:tc>
          <w:tcPr>
            <w:tcW w:w="233" w:type="dxa"/>
            <w:tcBorders/>
            <w:shd w:fill="FFFFFF" w:val="clear"/>
            <w:vAlign w:val="center"/>
          </w:tcPr>
          <w:p>
            <w:pPr>
              <w:pStyle w:val="TableContents"/>
              <w:bidi w:val="0"/>
              <w:spacing w:before="0" w:after="283"/>
              <w:ind w:left="0" w:right="0" w:hanging="200"/>
              <w:jc w:val="left"/>
              <w:rPr/>
            </w:pPr>
            <w:r>
              <w:rPr/>
              <w:t> </w:t>
            </w:r>
          </w:p>
        </w:tc>
      </w:tr>
      <w:tr>
        <w:trPr/>
        <w:tc>
          <w:tcPr>
            <w:tcW w:w="2327" w:type="dxa"/>
            <w:tcBorders/>
            <w:shd w:fill="CCEEFF" w:val="clear"/>
            <w:vAlign w:val="center"/>
          </w:tcPr>
          <w:p>
            <w:pPr>
              <w:pStyle w:val="TableContents"/>
              <w:bidi w:val="0"/>
              <w:spacing w:before="0" w:after="283"/>
              <w:jc w:val="left"/>
              <w:rPr/>
            </w:pPr>
            <w:r>
              <w:rPr/>
              <w:t>David Stefansky (1)</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62,904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pPr>
            <w:r>
              <w:rPr/>
              <w:t>55,554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7,350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0.3</w:t>
            </w:r>
          </w:p>
        </w:tc>
        <w:tc>
          <w:tcPr>
            <w:tcW w:w="233" w:type="dxa"/>
            <w:tcBorders/>
            <w:shd w:fill="CCEEFF" w:val="clear"/>
            <w:vAlign w:val="center"/>
          </w:tcPr>
          <w:p>
            <w:pPr>
              <w:pStyle w:val="TableContents"/>
              <w:bidi w:val="0"/>
              <w:spacing w:before="0" w:after="283"/>
              <w:ind w:left="0" w:right="0" w:hanging="200"/>
              <w:jc w:val="left"/>
              <w:rPr/>
            </w:pPr>
            <w:r>
              <w:rPr/>
              <w:t>%</w:t>
            </w:r>
          </w:p>
        </w:tc>
      </w:tr>
      <w:tr>
        <w:trPr/>
        <w:tc>
          <w:tcPr>
            <w:tcW w:w="2327" w:type="dxa"/>
            <w:tcBorders/>
            <w:shd w:fill="FFFFFF" w:val="clear"/>
            <w:vAlign w:val="center"/>
          </w:tcPr>
          <w:p>
            <w:pPr>
              <w:pStyle w:val="TableContents"/>
              <w:bidi w:val="0"/>
              <w:spacing w:before="0" w:after="283"/>
              <w:jc w:val="left"/>
              <w:rPr/>
            </w:pPr>
            <w:r>
              <w:rPr/>
              <w:t>Plutus LP (2)</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122,222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4.14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pPr>
            <w:r>
              <w:rPr/>
              <w:t>122,222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ind w:left="0" w:right="0" w:hanging="200"/>
              <w:jc w:val="left"/>
              <w:rPr/>
            </w:pPr>
            <w:r>
              <w:rPr/>
              <w:t>%</w:t>
            </w:r>
          </w:p>
        </w:tc>
      </w:tr>
      <w:tr>
        <w:trPr/>
        <w:tc>
          <w:tcPr>
            <w:tcW w:w="2327" w:type="dxa"/>
            <w:tcBorders/>
            <w:shd w:fill="CCEEFF" w:val="clear"/>
            <w:vAlign w:val="center"/>
          </w:tcPr>
          <w:p>
            <w:pPr>
              <w:pStyle w:val="TableContents"/>
              <w:bidi w:val="0"/>
              <w:spacing w:before="0" w:after="283"/>
              <w:jc w:val="left"/>
              <w:rPr/>
            </w:pPr>
            <w:r>
              <w:rPr/>
              <w:t>Plutus Value LP (3)</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296,296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9.48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pPr>
            <w:r>
              <w:rPr/>
              <w:t>296,296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ind w:left="0" w:right="0" w:hanging="200"/>
              <w:jc w:val="left"/>
              <w:rPr/>
            </w:pPr>
            <w:r>
              <w:rPr/>
              <w:t>%</w:t>
            </w:r>
          </w:p>
        </w:tc>
      </w:tr>
      <w:tr>
        <w:trPr/>
        <w:tc>
          <w:tcPr>
            <w:tcW w:w="2327" w:type="dxa"/>
            <w:tcBorders/>
            <w:shd w:fill="FFFFFF" w:val="clear"/>
            <w:vAlign w:val="center"/>
          </w:tcPr>
          <w:p>
            <w:pPr>
              <w:pStyle w:val="TableContents"/>
              <w:bidi w:val="0"/>
              <w:spacing w:before="0" w:after="283"/>
              <w:jc w:val="left"/>
              <w:rPr/>
            </w:pPr>
            <w:r>
              <w:rPr/>
              <w:t>Yoel Neeman (4)</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555,554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16.42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pPr>
            <w:r>
              <w:rPr/>
              <w:t>555,554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ind w:left="0" w:right="0" w:hanging="200"/>
              <w:jc w:val="left"/>
              <w:rPr/>
            </w:pPr>
            <w:r>
              <w:rPr/>
              <w:t>%</w:t>
            </w:r>
          </w:p>
        </w:tc>
      </w:tr>
      <w:tr>
        <w:trPr/>
        <w:tc>
          <w:tcPr>
            <w:tcW w:w="2327" w:type="dxa"/>
            <w:tcBorders/>
            <w:shd w:fill="CCEEFF" w:val="clear"/>
            <w:vAlign w:val="center"/>
          </w:tcPr>
          <w:p>
            <w:pPr>
              <w:pStyle w:val="TableContents"/>
              <w:bidi w:val="0"/>
              <w:spacing w:before="0" w:after="283"/>
              <w:jc w:val="left"/>
              <w:rPr/>
            </w:pPr>
            <w:r>
              <w:rPr/>
              <w:t>Zev Saltsman (5)</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1,037,036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26.83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pPr>
            <w:r>
              <w:rPr/>
              <w:t>1,037,036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sz w:val="20"/>
              </w:rPr>
            </w:pPr>
            <w:r>
              <w:rPr>
                <w:sz w:val="20"/>
              </w:rPr>
              <w:t>(1)</w:t>
            </w:r>
          </w:p>
        </w:tc>
        <w:tc>
          <w:tcPr>
            <w:tcW w:w="9984" w:type="dxa"/>
            <w:tcBorders/>
            <w:vAlign w:val="center"/>
          </w:tcPr>
          <w:p>
            <w:pPr>
              <w:pStyle w:val="TableContents"/>
              <w:bidi w:val="0"/>
              <w:spacing w:before="0" w:after="283"/>
              <w:jc w:val="left"/>
              <w:rPr/>
            </w:pPr>
            <w:r>
              <w:rPr/>
              <w:t> </w:t>
            </w:r>
            <w:r>
              <w:rPr>
                <w:sz w:val="20"/>
              </w:rPr>
              <w:t>Consists of (i) 7,350 ordinary shares purchased in open market transactions, (ii) 27,777 ordinary shares issuable upon exercise of the Initial Warrant and (iii) 27,777 ordinary shares issuable upon conversion of the Initial Note.  The principal business address of David Stefansky is 708 Park Ave, Lakewood, NJ 08701.</w:t>
            </w:r>
          </w:p>
        </w:tc>
      </w:tr>
      <w:tr>
        <w:trPr/>
        <w:tc>
          <w:tcPr>
            <w:tcW w:w="221" w:type="dxa"/>
            <w:tcBorders/>
            <w:vAlign w:val="center"/>
          </w:tcPr>
          <w:p>
            <w:pPr>
              <w:pStyle w:val="TableContents"/>
              <w:bidi w:val="0"/>
              <w:spacing w:before="0" w:after="283"/>
              <w:jc w:val="left"/>
              <w:rPr/>
            </w:pPr>
            <w:r>
              <w:rPr/>
              <w:t> </w:t>
            </w:r>
          </w:p>
        </w:tc>
        <w:tc>
          <w:tcPr>
            <w:tcW w:w="9984"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283"/>
              <w:jc w:val="left"/>
              <w:rPr>
                <w:sz w:val="20"/>
              </w:rPr>
            </w:pPr>
            <w:r>
              <w:rPr>
                <w:sz w:val="20"/>
              </w:rPr>
              <w:t>(2)</w:t>
            </w:r>
          </w:p>
        </w:tc>
        <w:tc>
          <w:tcPr>
            <w:tcW w:w="9984" w:type="dxa"/>
            <w:tcBorders/>
            <w:vAlign w:val="center"/>
          </w:tcPr>
          <w:p>
            <w:pPr>
              <w:pStyle w:val="TableContents"/>
              <w:bidi w:val="0"/>
              <w:spacing w:before="0" w:after="283"/>
              <w:jc w:val="left"/>
              <w:rPr/>
            </w:pPr>
            <w:r>
              <w:rPr/>
              <w:t> </w:t>
            </w:r>
            <w:r>
              <w:rPr>
                <w:sz w:val="20"/>
              </w:rPr>
              <w:t>Consists of (i) 61,111 ordinary shares issuable upon exercise of the Initial Warrant and (ii) 61,111 ordinary shares issuable upon conversion of the Initial Note. The principal business address of Plutus LP is Ehad Ha’am 9, Tel Aviv Israel 6525101.</w:t>
            </w:r>
          </w:p>
        </w:tc>
      </w:tr>
      <w:tr>
        <w:trPr/>
        <w:tc>
          <w:tcPr>
            <w:tcW w:w="221" w:type="dxa"/>
            <w:tcBorders/>
            <w:vAlign w:val="center"/>
          </w:tcPr>
          <w:p>
            <w:pPr>
              <w:pStyle w:val="TableContents"/>
              <w:bidi w:val="0"/>
              <w:spacing w:before="0" w:after="283"/>
              <w:jc w:val="left"/>
              <w:rPr/>
            </w:pPr>
            <w:r>
              <w:rPr/>
              <w:t> </w:t>
            </w:r>
          </w:p>
        </w:tc>
        <w:tc>
          <w:tcPr>
            <w:tcW w:w="9984"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283"/>
              <w:jc w:val="left"/>
              <w:rPr>
                <w:sz w:val="20"/>
              </w:rPr>
            </w:pPr>
            <w:r>
              <w:rPr>
                <w:sz w:val="20"/>
              </w:rPr>
              <w:t>(3)</w:t>
            </w:r>
          </w:p>
        </w:tc>
        <w:tc>
          <w:tcPr>
            <w:tcW w:w="9984" w:type="dxa"/>
            <w:tcBorders/>
            <w:vAlign w:val="center"/>
          </w:tcPr>
          <w:p>
            <w:pPr>
              <w:pStyle w:val="TableContents"/>
              <w:bidi w:val="0"/>
              <w:spacing w:before="0" w:after="283"/>
              <w:jc w:val="left"/>
              <w:rPr/>
            </w:pPr>
            <w:r>
              <w:rPr/>
              <w:t> </w:t>
            </w:r>
            <w:r>
              <w:rPr>
                <w:sz w:val="20"/>
              </w:rPr>
              <w:t>Consists of (i) 148,148 ordinary shares issuable upon exercise of the Initial Warrant and (ii) 148,148 ordinary shares issuable upon conversion of Initial Note.  The principal business address of Plutus Value LP is Ehad Ha’am 9, Tel Aviv Israel 6525101.</w:t>
            </w:r>
          </w:p>
        </w:tc>
      </w:tr>
      <w:tr>
        <w:trPr/>
        <w:tc>
          <w:tcPr>
            <w:tcW w:w="221" w:type="dxa"/>
            <w:tcBorders/>
            <w:vAlign w:val="center"/>
          </w:tcPr>
          <w:p>
            <w:pPr>
              <w:pStyle w:val="TableContents"/>
              <w:bidi w:val="0"/>
              <w:spacing w:before="0" w:after="283"/>
              <w:jc w:val="left"/>
              <w:rPr/>
            </w:pPr>
            <w:r>
              <w:rPr/>
              <w:t> </w:t>
            </w:r>
          </w:p>
        </w:tc>
        <w:tc>
          <w:tcPr>
            <w:tcW w:w="9984"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283"/>
              <w:jc w:val="left"/>
              <w:rPr>
                <w:sz w:val="20"/>
              </w:rPr>
            </w:pPr>
            <w:r>
              <w:rPr>
                <w:sz w:val="20"/>
              </w:rPr>
              <w:t>(4)</w:t>
            </w:r>
          </w:p>
        </w:tc>
        <w:tc>
          <w:tcPr>
            <w:tcW w:w="9984" w:type="dxa"/>
            <w:tcBorders/>
            <w:vAlign w:val="center"/>
          </w:tcPr>
          <w:p>
            <w:pPr>
              <w:pStyle w:val="TableContents"/>
              <w:bidi w:val="0"/>
              <w:spacing w:before="0" w:after="283"/>
              <w:jc w:val="left"/>
              <w:rPr/>
            </w:pPr>
            <w:r>
              <w:rPr/>
              <w:t> </w:t>
            </w:r>
            <w:r>
              <w:rPr>
                <w:sz w:val="20"/>
              </w:rPr>
              <w:t>Consists of (i) 277,777 ordinary shares issuable upon exercise of the Initial Warrant and (ii) 277,777 ordinary shares issuable upon conversion of the Initial Note.  The principal business address of Yoel Neeman is 10 Hashiloach St., Petach Tikva, Israel 4917002.</w:t>
            </w:r>
          </w:p>
        </w:tc>
      </w:tr>
      <w:tr>
        <w:trPr/>
        <w:tc>
          <w:tcPr>
            <w:tcW w:w="221" w:type="dxa"/>
            <w:tcBorders/>
            <w:vAlign w:val="center"/>
          </w:tcPr>
          <w:p>
            <w:pPr>
              <w:pStyle w:val="TableContents"/>
              <w:bidi w:val="0"/>
              <w:spacing w:before="0" w:after="283"/>
              <w:jc w:val="left"/>
              <w:rPr/>
            </w:pPr>
            <w:r>
              <w:rPr/>
              <w:t> </w:t>
            </w:r>
          </w:p>
        </w:tc>
        <w:tc>
          <w:tcPr>
            <w:tcW w:w="9984"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283"/>
              <w:jc w:val="left"/>
              <w:rPr>
                <w:sz w:val="20"/>
              </w:rPr>
            </w:pPr>
            <w:r>
              <w:rPr>
                <w:sz w:val="20"/>
              </w:rPr>
              <w:t>(5)</w:t>
            </w:r>
          </w:p>
        </w:tc>
        <w:tc>
          <w:tcPr>
            <w:tcW w:w="9984" w:type="dxa"/>
            <w:tcBorders/>
            <w:vAlign w:val="center"/>
          </w:tcPr>
          <w:p>
            <w:pPr>
              <w:pStyle w:val="TableContents"/>
              <w:bidi w:val="0"/>
              <w:spacing w:before="0" w:after="283"/>
              <w:jc w:val="left"/>
              <w:rPr/>
            </w:pPr>
            <w:r>
              <w:rPr/>
              <w:t> </w:t>
            </w:r>
            <w:r>
              <w:rPr>
                <w:sz w:val="20"/>
              </w:rPr>
              <w:t>Consists of (i) 518,518 ordinary shares issuable upon exercise of the Initial Warrant and (ii) 518,518 ordinary shares issuable upon conversion of the Initial Note. The principal business address of Zev Saltsman is 20 Hatamar Street, Karnai Shomron, Israel 4485500.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greater detail above under the section “Prospectus Summary—Note and Warrant Financing,” on June 30, 2026, we entered into the Note Purchase Agreement with the Selling Shareholders pursuant to which we issued the Initial Notes and Initial Warrants to the Selling Shareholders. Neither the Selling Shareholders nor any persons having control over the Selling Shareholders has held any position or office with us or our affiliates within the last three years or has had a material relationship with us or any of our predecessors or affiliates within the past three years, other than as a result of the ownership of our ordinary shares or other securities pursuant to the Note Purchase Agreement.</w:t>
      </w:r>
    </w:p>
    <w:p>
      <w:pPr>
        <w:pStyle w:val="TextBody"/>
        <w:bidi w:val="0"/>
        <w:spacing w:before="0" w:after="0"/>
        <w:jc w:val="center"/>
        <w:rPr>
          <w:bdr w:val="single" w:sz="8" w:space="1" w:color="000000"/>
        </w:rPr>
      </w:pPr>
      <w:r>
        <w:rPr>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10" w:name="a_009"/>
      <w:bookmarkEnd w:id="10"/>
      <w:r>
        <w:rPr>
          <w:caps w:val="false"/>
          <w:smallCaps w:val="false"/>
        </w:rPr>
        <w:t> </w:t>
      </w:r>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which as used herein includes donees, pledgees, transferees or other successors-in-interest selling ordinary shares or interests in ordinary shares received after the date of this prospectus from the Selling Shareholders as a gift, pledge, partnership distribution or other transfer, may, from time to time, sell, transfer or otherwise dispose of any or all of its ordinary shares or interests in ordinary shares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use any one or more of the following methods when disposing of ordinary shares or interests therein:</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block trades in which the broker-dealer will attempt to sell the ordinary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settlement of short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broker-dealers may agree with the Selling Shareholders to sell a specified number of such ordinary shares at a stipulated price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Shareholders to include the pledgee, transferee or other successors in interest as a Selling Shareholder under this prospectus. The Selling Shareholders may also transfer the ordinary shares in other circumstances, in which case the transferees, pledgees or other successors in interest will be the selling beneficial owners for purposes of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ordinary shares or interests therein, the Selling Shareholders may enter into hedging transactions with broker-dealers or other financial institutions, which may in turn engage in short sales of the ordinary shares in the course of hedging the positions they assume. The Selling Shareholders may also sell shares of our ordinary shares short and deliver these securities to close out their short positions, or loan or pledge the ordinary shares to broker-dealers that in turn may sell these securities. The Selling Shareholders may also enter into options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Shareholders from the sale of the ordinary shares offered by them will be the purchase price of the ordinary shares less discounts or commissions, if any. Each of the Selling Shareholders reserves the right to accept and, together with their agents from time to time, to reject, in whole or in part, any proposed purchase of ordinary shares to be made directly or through agents. We will not receive any of the proceeds from this offering. Upon any cash exercise of the Initial Warrants, however, we will receive the exercise price of $5.40 per ordinary share, subject to adjustment as provided in the Initial Warrants.</w:t>
      </w:r>
    </w:p>
    <w:p>
      <w:pPr>
        <w:pStyle w:val="TextBody"/>
        <w:bidi w:val="0"/>
        <w:spacing w:before="0" w:after="0"/>
        <w:jc w:val="center"/>
        <w:rPr>
          <w:bdr w:val="single" w:sz="8" w:space="1" w:color="000000"/>
        </w:rPr>
      </w:pPr>
      <w:r>
        <w:rPr>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resell all or a portion of the ordinary shares owned by them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underwriters, broker-dealers or agents that participate in the sale of the ordinary shares or interests therein may be “underwriters” within the meaning of Section 2(a)(11) of the Securities Act (it being understood that the Selling Shareholders shall not be deemed to be an underwriter solely as a result of their participation in this offering). Any discounts, commissions, concessions or profit they earn on any resale of the ordinary shares may be underwriting discounts and commissions under the Securities Act. If the Selling Shareholders are “underwriters” within the meaning of Section 2(a)(11) of the Securities Act, they will be subject to the prospectus delivery requirements of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ordinary shares to be sold, the names of the Selling Shareholders,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Shareholders that the anti-manipulation rules of Regulation M under the Securities Exchange Act of 1934 (the “Exchange Act”) may apply to sales of ordinary shares covered by this prospectus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Shareholders against liabilities, including liabilities under the Securities Act and state securities laws, relating to the registration of the shares offered by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Shareholders to use commercially reasonable efforts to cause the registration statement of which this prospectus constitutes a part to become effective and to remain continuously effective until no Purchaser owns any securities.</w:t>
      </w:r>
    </w:p>
    <w:p>
      <w:pPr>
        <w:pStyle w:val="TextBody"/>
        <w:bidi w:val="0"/>
        <w:spacing w:before="0" w:after="0"/>
        <w:jc w:val="center"/>
        <w:rPr>
          <w:bdr w:val="single" w:sz="8" w:space="1" w:color="000000"/>
        </w:rPr>
      </w:pPr>
      <w:r>
        <w:rPr>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Lifeward Ltd. appearing in Lifeward Ltd.’s Annual Report (Form 10-K) for the year ended December 31, 2025, have been audited by Kost Forer Gabbay &amp; Kasierer, a member of EY Global, independent registered public accounting firm, as set forth in their report thereon (which contains an explanatory paragraph describing conditions that raise substantial doubt about the Company’s ability to continue as a going concern as described in Note 1e. to the consolidated financial statements), incorporated by reference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Israeli law and with respect to the validity of the offered securities under Israeli law will be passed upon for us by Goldfarb Gross Seligman &amp; Co., Tel Aviv, Israel. Certain legal matters with respect to U.S. federal securities laws and New York law will be passed upon for us by Goodwin Procter LLP, Philadelphia, Pennsylvania.</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firstLine="49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It may be difficult to obtain service of process within the United States upon us, upon our directors and executive officers, several of whom reside outside of the United States, and upon those Israeli experts named in this prospectus who reside outside of the United States. Furthermore, because a majority of our assets and several of our directors are located outside of the United States, any judgment obtained in the United States against us, certain of our directors or the Israeli experts named herein may be difficult to collect within the United States.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Goldfarb Gross Seligman &amp; Co., Tel Aviv, that it may be difficult to assert U.S. securities laws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Matters of procedure will also be governed by Israeli law.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regard, our Articles of Association provide that, unless we consent in writing to the selection of an alternative forum, (i) the federal courts of the United States will be the exclusive forum for the resolution of any claim arising under the Securities Act of 1933 and (ii) the Tel-Aviv District Court will be the exclusive forum for (a) a derivative action or derivative proceeding that is filed in the name of the Company; (b) any action grounded in a breach of fiduciary duty of a director, officeholder or other employee towards us or our shareholders; or (c) any action the cause of which results from any provision of the Companies Law or the Israel Securities Law, 5728-1968. We have retained the ability to consent to an alternative forum if we determine shareholder interests are best served by permitting a particular dispute to proceed in a forum other than the federal district courts or State of Israel, as applicable. However, there is uncertainty as to whether a court would enforce these provisions.</w:t>
      </w:r>
    </w:p>
    <w:p>
      <w:pPr>
        <w:pStyle w:val="TextBody"/>
        <w:bidi w:val="0"/>
        <w:spacing w:before="0" w:after="0"/>
        <w:jc w:val="center"/>
        <w:rPr>
          <w:bdr w:val="single" w:sz="8" w:space="1" w:color="000000"/>
        </w:rPr>
      </w:pPr>
      <w:r>
        <w:rPr>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our subsidiary, Lifeward, Inc., which is incorporated in Delaware, as our agent to receive service of process in any action against us in any United States federal or state court arising out of offerings or sales pursuant to this prospectus or any purchase or sale of securities in connection with this prospectus. Subject to specified time limitations and legal procedures, Israeli courts may enforce a non-appealable foreign judgment in a civil matter, provided that, among other things: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is obtained after due process before a court of competent jurisdiction, according to the laws of the foreign state in which the judgment is given and the rules of private international law currently prevailing in Israel;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prevailing law of the foreign state in which the judgment is rendered allows for the enforcement of judgments of Israeli courts;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adequate service of process has been effected and the defendant has had a reasonable opportunity to be heard and to present his or her evidence;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is not contrary to the public policy of Israel, and the enforcement of the civil liabilities set forth in the judgment is not likely to impair the security or sovereignty of Israel;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not obtained by fraud and does not conflict with any other valid judgment in the same matter between the same parties;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an action between the same parties in the same matter was not pending in any Israeli court at the time the lawsuit was instituted in the foreign court;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is enforceable according to the laws of Israel and according to the law of the foreign state in which the relief was granted.</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Traditionally, in an action before an Israeli court to recover an amount in a non-Israeli currency, the Israeli court issues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a per-annum statutory rate of interest set on a quarterly basis by Israeli regulations. Judgment creditors must bear the risk of unfavorable exchange rates. The trend in recent years has increasingly been for Israeli courts to enforce a foreign judgment in the foreign currency specified in the judgment, in which case there are also applicable rules regarding the payment of interest.</w:t>
      </w:r>
    </w:p>
    <w:p>
      <w:pPr>
        <w:pStyle w:val="TextBody"/>
        <w:bidi w:val="0"/>
        <w:spacing w:before="0" w:after="0"/>
        <w:jc w:val="center"/>
        <w:rPr>
          <w:bdr w:val="single" w:sz="8" w:space="1" w:color="000000"/>
        </w:rPr>
      </w:pPr>
      <w:r>
        <w:rPr>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the informational requirements of the Exchange Act, and we are required to file reports and proxy statements and other information with the SEC. You may read and copy these reports, proxy statements and other information on the SEC’s website at http://www.sec.gov, which contains reports, proxy and information statements and other information regarding issuers like us that file electronically with the SEC. We maintain a website at www.golifeward.com. The information contained in, or that can be accessed through, our website is not incorporated by reference herein and is not part of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sz w:val="20"/>
              </w:rPr>
              <w:t xml:space="preserve">our Annual Report on </w:t>
            </w:r>
            <w:hyperlink r:id="rId3">
              <w:r>
                <w:rPr>
                  <w:rStyle w:val="InternetLink"/>
                  <w:sz w:val="20"/>
                  <w:u w:val="single"/>
                </w:rPr>
                <w:t>Form 10-K</w:t>
              </w:r>
            </w:hyperlink>
            <w:r>
              <w:rPr>
                <w:sz w:val="20"/>
              </w:rPr>
              <w:t xml:space="preserve"> for the year ended December 31, 2025, filed with the SEC on March 18,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sz w:val="20"/>
              </w:rPr>
              <w:t xml:space="preserve">our Quarterly Report on </w:t>
            </w:r>
            <w:hyperlink r:id="rId4">
              <w:r>
                <w:rPr>
                  <w:rStyle w:val="InternetLink"/>
                  <w:sz w:val="20"/>
                  <w:u w:val="single"/>
                </w:rPr>
                <w:t>Form 10-Q</w:t>
              </w:r>
            </w:hyperlink>
            <w:r>
              <w:rPr>
                <w:sz w:val="20"/>
              </w:rPr>
              <w:t xml:space="preserve"> for the quarter ended March 31, 2026, filed with the SEC on May 20,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sz w:val="20"/>
              </w:rPr>
              <w:t xml:space="preserve">our Current Reports on Form 8-K filed with the SEC on </w:t>
            </w:r>
            <w:hyperlink r:id="rId5">
              <w:r>
                <w:rPr>
                  <w:rStyle w:val="InternetLink"/>
                  <w:sz w:val="20"/>
                  <w:u w:val="single"/>
                </w:rPr>
                <w:t>January 6, 2026</w:t>
              </w:r>
            </w:hyperlink>
            <w:r>
              <w:rPr>
                <w:sz w:val="20"/>
              </w:rPr>
              <w:t xml:space="preserve">, </w:t>
            </w:r>
            <w:hyperlink r:id="rId6">
              <w:r>
                <w:rPr>
                  <w:rStyle w:val="InternetLink"/>
                  <w:sz w:val="20"/>
                  <w:u w:val="single"/>
                </w:rPr>
                <w:t>January 13, 2026</w:t>
              </w:r>
            </w:hyperlink>
            <w:r>
              <w:rPr>
                <w:sz w:val="20"/>
              </w:rPr>
              <w:t xml:space="preserve">, </w:t>
            </w:r>
            <w:hyperlink r:id="rId7">
              <w:r>
                <w:rPr>
                  <w:rStyle w:val="InternetLink"/>
                  <w:sz w:val="20"/>
                  <w:u w:val="single"/>
                </w:rPr>
                <w:t>January 28, 2026</w:t>
              </w:r>
            </w:hyperlink>
            <w:r>
              <w:rPr>
                <w:sz w:val="20"/>
              </w:rPr>
              <w:t xml:space="preserve">, </w:t>
            </w:r>
            <w:hyperlink r:id="rId8">
              <w:r>
                <w:rPr>
                  <w:rStyle w:val="InternetLink"/>
                  <w:sz w:val="20"/>
                  <w:u w:val="single"/>
                </w:rPr>
                <w:t>February 9, 2026</w:t>
              </w:r>
            </w:hyperlink>
            <w:r>
              <w:rPr>
                <w:sz w:val="20"/>
              </w:rPr>
              <w:t xml:space="preserve">, </w:t>
            </w:r>
            <w:hyperlink r:id="rId9">
              <w:r>
                <w:rPr>
                  <w:rStyle w:val="InternetLink"/>
                  <w:sz w:val="20"/>
                  <w:u w:val="single"/>
                </w:rPr>
                <w:t>February 19, 2026</w:t>
              </w:r>
            </w:hyperlink>
            <w:r>
              <w:rPr>
                <w:sz w:val="20"/>
              </w:rPr>
              <w:t xml:space="preserve">, </w:t>
            </w:r>
            <w:hyperlink r:id="rId10">
              <w:r>
                <w:rPr>
                  <w:rStyle w:val="InternetLink"/>
                  <w:sz w:val="20"/>
                  <w:u w:val="single"/>
                </w:rPr>
                <w:t>February 25, 2026</w:t>
              </w:r>
            </w:hyperlink>
            <w:r>
              <w:rPr>
                <w:sz w:val="20"/>
              </w:rPr>
              <w:t xml:space="preserve">, </w:t>
            </w:r>
            <w:hyperlink r:id="rId11">
              <w:r>
                <w:rPr>
                  <w:rStyle w:val="InternetLink"/>
                  <w:sz w:val="20"/>
                  <w:u w:val="single"/>
                </w:rPr>
                <w:t>February 27, 2026</w:t>
              </w:r>
            </w:hyperlink>
            <w:r>
              <w:rPr>
                <w:sz w:val="20"/>
              </w:rPr>
              <w:t xml:space="preserve">, </w:t>
            </w:r>
            <w:hyperlink r:id="rId12">
              <w:r>
                <w:rPr>
                  <w:rStyle w:val="InternetLink"/>
                  <w:sz w:val="20"/>
                  <w:u w:val="single"/>
                </w:rPr>
                <w:t>March 2, 2026</w:t>
              </w:r>
            </w:hyperlink>
            <w:r>
              <w:rPr>
                <w:sz w:val="20"/>
              </w:rPr>
              <w:t xml:space="preserve">, </w:t>
            </w:r>
            <w:hyperlink r:id="rId13">
              <w:r>
                <w:rPr>
                  <w:rStyle w:val="InternetLink"/>
                  <w:sz w:val="20"/>
                  <w:u w:val="single"/>
                </w:rPr>
                <w:t>March 11, 2026</w:t>
              </w:r>
            </w:hyperlink>
            <w:r>
              <w:rPr>
                <w:sz w:val="20"/>
              </w:rPr>
              <w:t xml:space="preserve">, </w:t>
            </w:r>
            <w:hyperlink r:id="rId14">
              <w:r>
                <w:rPr>
                  <w:rStyle w:val="InternetLink"/>
                  <w:sz w:val="20"/>
                  <w:u w:val="single"/>
                </w:rPr>
                <w:t>March 13, 2026</w:t>
              </w:r>
            </w:hyperlink>
            <w:r>
              <w:rPr>
                <w:sz w:val="20"/>
              </w:rPr>
              <w:t xml:space="preserve">, </w:t>
            </w:r>
            <w:hyperlink r:id="rId15">
              <w:r>
                <w:rPr>
                  <w:rStyle w:val="InternetLink"/>
                  <w:sz w:val="20"/>
                  <w:u w:val="single"/>
                </w:rPr>
                <w:t>March 20, 2026</w:t>
              </w:r>
            </w:hyperlink>
            <w:r>
              <w:rPr>
                <w:sz w:val="20"/>
              </w:rPr>
              <w:t xml:space="preserve">, </w:t>
            </w:r>
            <w:hyperlink r:id="rId16">
              <w:r>
                <w:rPr>
                  <w:rStyle w:val="InternetLink"/>
                  <w:sz w:val="20"/>
                  <w:u w:val="single"/>
                </w:rPr>
                <w:t>March 25, 2026</w:t>
              </w:r>
            </w:hyperlink>
            <w:r>
              <w:rPr>
                <w:sz w:val="20"/>
              </w:rPr>
              <w:t xml:space="preserve">, </w:t>
            </w:r>
            <w:hyperlink r:id="rId17">
              <w:r>
                <w:rPr>
                  <w:rStyle w:val="InternetLink"/>
                  <w:sz w:val="20"/>
                  <w:u w:val="single"/>
                </w:rPr>
                <w:t>March 31, 2026</w:t>
              </w:r>
            </w:hyperlink>
            <w:r>
              <w:rPr>
                <w:sz w:val="20"/>
              </w:rPr>
              <w:t xml:space="preserve">, </w:t>
            </w:r>
            <w:hyperlink r:id="rId18">
              <w:r>
                <w:rPr>
                  <w:rStyle w:val="InternetLink"/>
                  <w:sz w:val="20"/>
                  <w:u w:val="single"/>
                </w:rPr>
                <w:t>April 23, 2026</w:t>
              </w:r>
            </w:hyperlink>
            <w:r>
              <w:rPr>
                <w:sz w:val="20"/>
              </w:rPr>
              <w:t xml:space="preserve">, </w:t>
            </w:r>
            <w:hyperlink r:id="rId19">
              <w:r>
                <w:rPr>
                  <w:rStyle w:val="InternetLink"/>
                  <w:sz w:val="20"/>
                  <w:u w:val="single"/>
                </w:rPr>
                <w:t>May 19, 2026</w:t>
              </w:r>
            </w:hyperlink>
            <w:r>
              <w:rPr>
                <w:sz w:val="20"/>
              </w:rPr>
              <w:t xml:space="preserve">, and </w:t>
            </w:r>
            <w:hyperlink r:id="rId20">
              <w:r>
                <w:rPr>
                  <w:rStyle w:val="InternetLink"/>
                  <w:sz w:val="20"/>
                  <w:u w:val="single"/>
                </w:rPr>
                <w:t>July 7, 2026</w:t>
              </w:r>
            </w:hyperlink>
            <w:r>
              <w:rPr>
                <w:sz w:val="20"/>
              </w:rPr>
              <w: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sz w:val="20"/>
              </w:rPr>
              <w:t xml:space="preserve">the description of our ordinary shares contained in Item 1 of the Registration Statement on </w:t>
            </w:r>
            <w:hyperlink r:id="rId21">
              <w:r>
                <w:rPr>
                  <w:rStyle w:val="InternetLink"/>
                  <w:sz w:val="20"/>
                  <w:u w:val="single"/>
                </w:rPr>
                <w:t>Form 8-A</w:t>
              </w:r>
            </w:hyperlink>
            <w:r>
              <w:rPr>
                <w:sz w:val="20"/>
              </w:rPr>
              <w:t xml:space="preserve"> (File No. 001-36612) filed with the SEC on September 2, 2014, as updated by </w:t>
            </w:r>
            <w:hyperlink r:id="rId22">
              <w:r>
                <w:rPr>
                  <w:rStyle w:val="InternetLink"/>
                  <w:sz w:val="20"/>
                  <w:u w:val="single"/>
                </w:rPr>
                <w:t>Exhibit 4.2</w:t>
              </w:r>
            </w:hyperlink>
            <w:r>
              <w:rPr>
                <w:sz w:val="20"/>
              </w:rPr>
              <w:t xml:space="preserve"> to the Annual Report on </w:t>
            </w:r>
            <w:hyperlink r:id="rId23">
              <w:r>
                <w:rPr>
                  <w:rStyle w:val="InternetLink"/>
                  <w:sz w:val="20"/>
                  <w:u w:val="single"/>
                </w:rPr>
                <w:t>Form 10-K</w:t>
              </w:r>
            </w:hyperlink>
            <w:r>
              <w:rPr>
                <w:sz w:val="20"/>
              </w:rPr>
              <w:t xml:space="preserve"> filed with the SEC on March 18, 2026 (Description of the Company’s securities registered pursuant to Section 12 of the Securities Exchange Act of 1934, as amended, or the Exchange Act) and any other amendment or report filed for the purpose of updating that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incorporate by reference into this prospectus any filings we make with the SEC pursuant to Section 13(a), 13(c), 14 or 15(d) of the Exchange Act after the date of the initial registration statement of which this prospectus is a part and prior to the effectiveness of the registration statement, and any filings we make with the SEC pursuant to Section 13(a), 13(c), 14 or 15(d) of the Exchange Act from the date of this prospectus until the termination of this offering. Notwithstanding the foregoing, no information is incorporated by reference in this prospectus or any prospectus supplement hereto where such information under applicable forms and regulations of the SEC is not deemed to be “filed” under Section 18 of the Exchange Act or otherwise subject to the liabilities of that section, unless we indicate in this prospectus or the report or filing containing such information that the information is to be considered “filed” under the Exchange Act or is to be incorporated by reference in this prospectus or any prospectus supplement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and portions of this prospectus update and replace information in the above-listed documents incorporated by reference. Likewise, statements in or portions of a future document incorporated by reference in this prospectus may update and replace statements in and portions of this prospectus or the above-listed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Lifeward Ltd., 2 Cabot Rd., Hudson, MA 01749, Attn: Investor Relations, or ir@golifeward.com, telephone number 508-251-1154. </w:t>
      </w:r>
    </w:p>
    <w:p>
      <w:pPr>
        <w:pStyle w:val="TextBody"/>
        <w:bidi w:val="0"/>
        <w:spacing w:before="0" w:after="0"/>
        <w:jc w:val="center"/>
        <w:rPr>
          <w:bdr w:val="single" w:sz="8" w:space="1" w:color="000000"/>
        </w:rPr>
      </w:pPr>
      <w:r>
        <w:rPr>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295650"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3295650" cy="1209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2,066,662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sold by the Selling Shareholders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the estimated expenses to be incurred by us in connection with the registration of the securities under this registration statement, all of which will be borne by us. All the amounts shown are estimates, except for the SEC registration fee.</w:t>
      </w:r>
    </w:p>
    <w:p>
      <w:pPr>
        <w:pStyle w:val="TextBody"/>
        <w:bidi w:val="0"/>
        <w:spacing w:before="0" w:after="0"/>
        <w:ind w:left="0" w:right="0" w:firstLine="490"/>
        <w:jc w:val="both"/>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3005"/>
        <w:gridCol w:w="60"/>
        <w:gridCol w:w="140"/>
        <w:gridCol w:w="980"/>
        <w:gridCol w:w="75"/>
      </w:tblGrid>
      <w:tr>
        <w:trPr/>
        <w:tc>
          <w:tcPr>
            <w:tcW w:w="3005" w:type="dxa"/>
            <w:tcBorders/>
            <w:shd w:fill="CCEEFF" w:val="clear"/>
            <w:vAlign w:val="center"/>
          </w:tcPr>
          <w:p>
            <w:pPr>
              <w:pStyle w:val="TableContents"/>
              <w:bidi w:val="0"/>
              <w:spacing w:before="0" w:after="283"/>
              <w:ind w:left="0" w:right="0" w:hanging="200"/>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200"/>
              <w:jc w:val="right"/>
              <w:rPr/>
            </w:pPr>
            <w:r>
              <w:rPr/>
              <w:t>1,980.72</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300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40,000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00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0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46,980.72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also may not exculpate in advance a director from liability arising out of a prohibited dividend or distribution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tc>
      </w:tr>
    </w:tbl>
    <w:p>
      <w:pPr>
        <w:pStyle w:val="TextBody"/>
        <w:bidi w:val="0"/>
        <w:spacing w:before="0" w:after="0"/>
        <w:ind w:left="0" w:right="0" w:firstLine="360"/>
        <w:jc w:val="center"/>
        <w:rPr>
          <w:bdr w:val="single" w:sz="8" w:space="1" w:color="000000"/>
        </w:rPr>
      </w:pPr>
      <w:r>
        <w:rPr>
          <w:bdr w:val="single" w:sz="8" w:space="1" w:color="000000"/>
        </w:rPr>
        <w:t>II - 1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a company may insure an office holder against the following liabilities incurred for acts performed by him or her as an office holder if and to the extent provided in the company’s articles of association: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 breach of the duty of loyalty to the company, provided that the office holder acted in good faith and had a reasonable basis to believe that the act would not harm the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 breach of duty of care to the company or to a third party, to the extent such a breach arises out of the negligent conduct of the office holder;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6055" w:type="dxa"/>
        <w:jc w:val="left"/>
        <w:tblInd w:w="0" w:type="dxa"/>
        <w:tblLayout w:type="fixed"/>
        <w:tblCellMar>
          <w:top w:w="0" w:type="dxa"/>
          <w:left w:w="0" w:type="dxa"/>
          <w:bottom w:w="0" w:type="dxa"/>
          <w:right w:w="0" w:type="dxa"/>
        </w:tblCellMar>
      </w:tblPr>
      <w:tblGrid>
        <w:gridCol w:w="125"/>
        <w:gridCol w:w="5930"/>
      </w:tblGrid>
      <w:tr>
        <w:trPr/>
        <w:tc>
          <w:tcPr>
            <w:tcW w:w="12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sz w:val="20"/>
              </w:rPr>
            </w:pPr>
            <w:r>
              <w:rPr>
                <w:sz w:val="20"/>
              </w:rPr>
              <w:t>a financial liability imposed on the office holder in favor of a third party.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a company may not indemnify, exculpate or insure an office holder against any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sz w:val="20"/>
              </w:rPr>
              <w:t>a breach of duty of care committed intentionally or recklessly, excluding a breach arising out of the negligent conduct of the office holder;</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bl>
    <w:tbl>
      <w:tblPr>
        <w:tblW w:w="6430" w:type="dxa"/>
        <w:jc w:val="left"/>
        <w:tblInd w:w="0" w:type="dxa"/>
        <w:tblLayout w:type="fixed"/>
        <w:tblCellMar>
          <w:top w:w="0" w:type="dxa"/>
          <w:left w:w="0" w:type="dxa"/>
          <w:bottom w:w="0" w:type="dxa"/>
          <w:right w:w="0" w:type="dxa"/>
        </w:tblCellMar>
      </w:tblPr>
      <w:tblGrid>
        <w:gridCol w:w="125"/>
        <w:gridCol w:w="6305"/>
      </w:tblGrid>
      <w:tr>
        <w:trPr/>
        <w:tc>
          <w:tcPr>
            <w:tcW w:w="125"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sz w:val="20"/>
              </w:rPr>
            </w:pPr>
            <w:r>
              <w:rPr>
                <w:sz w:val="20"/>
              </w:rPr>
              <w:t>an act or omission committed with intent to derive illegal personal benefit; or</w:t>
            </w:r>
          </w:p>
        </w:tc>
      </w:tr>
      <w:tr>
        <w:trPr/>
        <w:tc>
          <w:tcPr>
            <w:tcW w:w="12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both"/>
              <w:rPr/>
            </w:pPr>
            <w:r>
              <w:rPr/>
              <w:t> </w:t>
            </w:r>
          </w:p>
        </w:tc>
      </w:tr>
    </w:tbl>
    <w:tbl>
      <w:tblPr>
        <w:tblW w:w="5320" w:type="dxa"/>
        <w:jc w:val="left"/>
        <w:tblInd w:w="0" w:type="dxa"/>
        <w:tblLayout w:type="fixed"/>
        <w:tblCellMar>
          <w:top w:w="0" w:type="dxa"/>
          <w:left w:w="0" w:type="dxa"/>
          <w:bottom w:w="0" w:type="dxa"/>
          <w:right w:w="0" w:type="dxa"/>
        </w:tblCellMar>
      </w:tblPr>
      <w:tblGrid>
        <w:gridCol w:w="125"/>
        <w:gridCol w:w="5195"/>
      </w:tblGrid>
      <w:tr>
        <w:trPr/>
        <w:tc>
          <w:tcPr>
            <w:tcW w:w="125"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sz w:val="20"/>
              </w:rPr>
            </w:pPr>
            <w:r>
              <w:rPr>
                <w:sz w:val="20"/>
              </w:rPr>
              <w:t>a civil or criminal fine or forfeit levied against the office holder.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office holders to exculpate, indemnify and insure our office holders to the fullest extent permitted by our Articles of Association, the Israel Companies Law and the Israel Securities Law, 5728-1968, subject to an aggregate limitation for all indemnified persons of the greatest of: (i) an amount equal to 50% of the shareholders’ equity in the Company, as set forth in the Company’s most recent financial statements before the date of actual payment by the Company of the indemnification amount; (ii) $40,000,000; and (iii) solely in connection with or arising out of a public offering of the Company’s securities, the aggregate amount of proceeds from the sale by the Company and/or any shareholder of the Company’s securities in such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directors’ and officers’ liability insurance for the benefit of our office holders and intend to continue to maintain such coverage and pay all premiums thereunder to the fullest extent permitted by the Israel Companies Law.</w:t>
      </w:r>
    </w:p>
    <w:p>
      <w:pPr>
        <w:pStyle w:val="TextBody"/>
        <w:bidi w:val="0"/>
        <w:spacing w:before="0" w:after="0"/>
        <w:jc w:val="center"/>
        <w:rPr>
          <w:bdr w:val="single" w:sz="8" w:space="1" w:color="000000"/>
        </w:rPr>
      </w:pPr>
      <w:r>
        <w:rPr>
          <w:bdr w:val="single" w:sz="8" w:space="1" w:color="000000"/>
        </w:rPr>
        <w:t>II - 2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110"/>
        <w:gridCol w:w="60"/>
        <w:gridCol w:w="500"/>
        <w:gridCol w:w="60"/>
        <w:gridCol w:w="859"/>
        <w:gridCol w:w="60"/>
        <w:gridCol w:w="860"/>
        <w:gridCol w:w="60"/>
        <w:gridCol w:w="775"/>
        <w:gridCol w:w="76"/>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74" w:type="dxa"/>
            <w:gridSpan w:val="7"/>
            <w:tcBorders>
              <w:bottom w:val="single" w:sz="12" w:space="0" w:color="000000"/>
            </w:tcBorders>
            <w:tcMar>
              <w:bottom w:w="28" w:type="dxa"/>
            </w:tcMar>
            <w:vAlign w:val="center"/>
          </w:tcPr>
          <w:p>
            <w:pPr>
              <w:pStyle w:val="TableContents"/>
              <w:bidi w:val="0"/>
              <w:spacing w:before="0" w:after="283"/>
              <w:jc w:val="center"/>
              <w:rPr>
                <w:b/>
                <w:sz w:val="20"/>
              </w:rPr>
            </w:pPr>
            <w:r>
              <w:rPr>
                <w:b/>
                <w:sz w:val="20"/>
              </w:rPr>
              <w:t>Incorporation by Reference</w:t>
            </w:r>
          </w:p>
        </w:tc>
        <w:tc>
          <w:tcPr>
            <w:tcW w:w="76" w:type="dxa"/>
            <w:tcBorders/>
            <w:vAlign w:val="center"/>
          </w:tcPr>
          <w:p>
            <w:pPr>
              <w:pStyle w:val="TableContents"/>
              <w:bidi w:val="0"/>
              <w:spacing w:before="0" w:after="283"/>
              <w:jc w:val="left"/>
              <w:rPr/>
            </w:pPr>
            <w:r>
              <w:rPr/>
              <w:t> </w:t>
            </w:r>
          </w:p>
        </w:tc>
      </w:tr>
      <w:tr>
        <w:trPr/>
        <w:tc>
          <w:tcPr>
            <w:tcW w:w="725" w:type="dxa"/>
            <w:tcBorders>
              <w:bottom w:val="single" w:sz="12" w:space="0" w:color="000000"/>
            </w:tcBorders>
            <w:tcMar>
              <w:bottom w:w="28" w:type="dxa"/>
            </w:tcMar>
            <w:vAlign w:val="center"/>
          </w:tcPr>
          <w:p>
            <w:pPr>
              <w:pStyle w:val="TableContents"/>
              <w:bidi w:val="0"/>
              <w:spacing w:before="0" w:after="283"/>
              <w:jc w:val="left"/>
              <w:rPr>
                <w:sz w:val="20"/>
              </w:rPr>
            </w:pPr>
            <w:r>
              <w:rPr>
                <w:b/>
                <w:sz w:val="20"/>
              </w:rPr>
              <w:t>Exhibit</w:t>
            </w:r>
            <w:r>
              <w:rPr>
                <w:sz w:val="20"/>
              </w:rPr>
              <w:br/>
            </w:r>
            <w:r>
              <w:rPr>
                <w:b/>
                <w:sz w:val="20"/>
              </w:rPr>
              <w:t>Number</w:t>
            </w:r>
          </w:p>
        </w:tc>
        <w:tc>
          <w:tcPr>
            <w:tcW w:w="60" w:type="dxa"/>
            <w:tcBorders/>
            <w:vAlign w:val="center"/>
          </w:tcPr>
          <w:p>
            <w:pPr>
              <w:pStyle w:val="TableContents"/>
              <w:bidi w:val="0"/>
              <w:spacing w:before="0" w:after="283"/>
              <w:jc w:val="left"/>
              <w:rPr/>
            </w:pPr>
            <w:r>
              <w:rPr/>
              <w:t> </w:t>
            </w:r>
          </w:p>
        </w:tc>
        <w:tc>
          <w:tcPr>
            <w:tcW w:w="61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Exhibit Description</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Form</w:t>
            </w:r>
          </w:p>
        </w:tc>
        <w:tc>
          <w:tcPr>
            <w:tcW w:w="60" w:type="dxa"/>
            <w:tcBorders/>
            <w:vAlign w:val="center"/>
          </w:tcPr>
          <w:p>
            <w:pPr>
              <w:pStyle w:val="TableContents"/>
              <w:bidi w:val="0"/>
              <w:spacing w:before="0" w:after="283"/>
              <w:jc w:val="center"/>
              <w:rPr/>
            </w:pPr>
            <w:r>
              <w:rPr/>
              <w:t> </w:t>
            </w:r>
          </w:p>
        </w:tc>
        <w:tc>
          <w:tcPr>
            <w:tcW w:w="859"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File Number</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center"/>
              <w:rPr>
                <w:sz w:val="20"/>
              </w:rPr>
            </w:pPr>
            <w:r>
              <w:rPr>
                <w:b/>
                <w:sz w:val="20"/>
              </w:rPr>
              <w:t>Exhibit/</w:t>
            </w:r>
            <w:r>
              <w:rPr>
                <w:sz w:val="20"/>
              </w:rPr>
              <w:br/>
            </w:r>
            <w:r>
              <w:rPr>
                <w:b/>
                <w:sz w:val="20"/>
              </w:rPr>
              <w:t>Appendix</w:t>
            </w:r>
            <w:r>
              <w:rPr>
                <w:sz w:val="20"/>
              </w:rPr>
              <w:br/>
            </w:r>
            <w:r>
              <w:rPr>
                <w:b/>
                <w:sz w:val="20"/>
              </w:rPr>
              <w:t>Reference</w:t>
            </w:r>
          </w:p>
        </w:tc>
        <w:tc>
          <w:tcPr>
            <w:tcW w:w="60" w:type="dxa"/>
            <w:tcBorders/>
            <w:vAlign w:val="center"/>
          </w:tcPr>
          <w:p>
            <w:pPr>
              <w:pStyle w:val="TableContents"/>
              <w:bidi w:val="0"/>
              <w:spacing w:before="0" w:after="283"/>
              <w:jc w:val="center"/>
              <w:rPr/>
            </w:pPr>
            <w:r>
              <w:rPr/>
              <w:t> </w:t>
            </w:r>
          </w:p>
        </w:tc>
        <w:tc>
          <w:tcPr>
            <w:tcW w:w="77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Filing Date</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25">
              <w:r>
                <w:rPr>
                  <w:rStyle w:val="InternetLink"/>
                  <w:sz w:val="20"/>
                  <w:u w:val="single"/>
                </w:rPr>
                <w:t>2.1+</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r:id="rId26">
              <w:r>
                <w:rPr>
                  <w:rStyle w:val="InternetLink"/>
                  <w:sz w:val="20"/>
                  <w:u w:val="single"/>
                </w:rPr>
                <w:t>Share Purchase Agreement, dated January 12, 2026, among Lifeward, Ltd., Oramed Pharmaceuticals, Inc. and Oratech Pharmaceuticals,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8-K</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sz w:val="20"/>
              </w:rPr>
            </w:pPr>
            <w:r>
              <w:rPr>
                <w:sz w:val="20"/>
              </w:rPr>
              <w:t>2.1</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27">
              <w:r>
                <w:rPr>
                  <w:rStyle w:val="InternetLink"/>
                  <w:sz w:val="20"/>
                  <w:u w:val="single"/>
                </w:rPr>
                <w:t>2.2</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r:id="rId28">
              <w:r>
                <w:rPr>
                  <w:rStyle w:val="InternetLink"/>
                  <w:sz w:val="20"/>
                  <w:u w:val="single"/>
                </w:rPr>
                <w:t>First Amendment to Share Purchase Agreement, dated March 25, 2026, by and among Lifeward Ltd., Oramed Pharmaceuticals Inc. and Oratech Pharmaceuticals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8-K</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sz w:val="20"/>
              </w:rPr>
            </w:pPr>
            <w:r>
              <w:rPr>
                <w:sz w:val="20"/>
              </w:rPr>
              <w:t>2.1</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29">
              <w:r>
                <w:rPr>
                  <w:rStyle w:val="InternetLink"/>
                  <w:sz w:val="20"/>
                  <w:u w:val="single"/>
                </w:rPr>
                <w:t>2.3</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r:id="rId30">
              <w:r>
                <w:rPr>
                  <w:rStyle w:val="InternetLink"/>
                  <w:sz w:val="20"/>
                  <w:u w:val="single"/>
                </w:rPr>
                <w:t>Assignment and Assumption Agreement, dated March 25, 2026, by and between Oratech Pharmaceuticals Inc. and Oratech Ltd. and acknowledged by Lifeward Ltd.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8-K</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sz w:val="20"/>
              </w:rPr>
            </w:pPr>
            <w:r>
              <w:rPr>
                <w:sz w:val="20"/>
              </w:rPr>
              <w:t>2.2</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31">
              <w:r>
                <w:rPr>
                  <w:rStyle w:val="InternetLink"/>
                  <w:sz w:val="20"/>
                  <w:u w:val="single"/>
                </w:rPr>
                <w:t>3.1</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r:id="rId32">
              <w:r>
                <w:rPr>
                  <w:rStyle w:val="InternetLink"/>
                  <w:sz w:val="20"/>
                  <w:u w:val="single"/>
                </w:rPr>
                <w:t>Eighth Amended and Restated Articles of Association of the Company.</w:t>
              </w:r>
            </w:hyperlink>
            <w:r>
              <w:rPr>
                <w:sz w:val="20"/>
                <w:u w:val="single"/>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10-K</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sz w:val="20"/>
              </w:rPr>
            </w:pPr>
            <w:r>
              <w:rPr>
                <w:sz w:val="20"/>
              </w:rPr>
              <w:t>3.1</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33">
              <w:r>
                <w:rPr>
                  <w:rStyle w:val="InternetLink"/>
                  <w:sz w:val="20"/>
                  <w:u w:val="single"/>
                </w:rPr>
                <w:t>4.1</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r:id="rId34">
              <w:r>
                <w:rPr>
                  <w:rStyle w:val="InternetLink"/>
                  <w:sz w:val="20"/>
                  <w:u w:val="single"/>
                </w:rPr>
                <w:t>Form of Senior Secured Convertible Note.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8-K</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sz w:val="20"/>
              </w:rPr>
            </w:pPr>
            <w:r>
              <w:rPr>
                <w:sz w:val="20"/>
              </w:rPr>
              <w:t>4.4</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u w:val="single"/>
                </w:rPr>
                <w:t>4.2</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hyperlink r:id="rId36">
              <w:r>
                <w:rPr>
                  <w:rStyle w:val="InternetLink"/>
                  <w:sz w:val="20"/>
                </w:rPr>
                <w:t>Form of Warrant</w:t>
              </w:r>
            </w:hyperlink>
            <w:r>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8-K</w:t>
            </w:r>
          </w:p>
        </w:tc>
        <w:tc>
          <w:tcPr>
            <w:tcW w:w="60" w:type="dxa"/>
            <w:tcBorders/>
            <w:vAlign w:val="center"/>
          </w:tcPr>
          <w:p>
            <w:pPr>
              <w:pStyle w:val="TableContents"/>
              <w:bidi w:val="0"/>
              <w:spacing w:before="0" w:after="283"/>
              <w:jc w:val="center"/>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sz w:val="20"/>
              </w:rPr>
            </w:pPr>
            <w:r>
              <w:rPr>
                <w:sz w:val="20"/>
              </w:rPr>
              <w:t>4.5</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exhibit_5-1.htm">
              <w:r>
                <w:rPr>
                  <w:rStyle w:val="InternetLink"/>
                  <w:sz w:val="20"/>
                  <w:u w:val="single"/>
                </w:rPr>
                <w:t>5.1*</w:t>
              </w:r>
            </w:hyperlink>
          </w:p>
        </w:tc>
        <w:tc>
          <w:tcPr>
            <w:tcW w:w="60" w:type="dxa"/>
            <w:tcBorders/>
            <w:vAlign w:val="center"/>
          </w:tcPr>
          <w:p>
            <w:pPr>
              <w:pStyle w:val="TableContents"/>
              <w:bidi w:val="0"/>
              <w:spacing w:before="0" w:after="283"/>
              <w:jc w:val="left"/>
              <w:rPr>
                <w:sz w:val="20"/>
              </w:rPr>
            </w:pPr>
            <w:r>
              <w:rPr>
                <w:sz w:val="20"/>
                <w:u w:val="single"/>
              </w:rPr>
              <w:br/>
            </w:r>
            <w:r>
              <w:rPr>
                <w:sz w:val="20"/>
              </w:rPr>
              <w:t> </w:t>
            </w:r>
          </w:p>
        </w:tc>
        <w:tc>
          <w:tcPr>
            <w:tcW w:w="6110" w:type="dxa"/>
            <w:tcBorders/>
            <w:vAlign w:val="center"/>
          </w:tcPr>
          <w:p>
            <w:pPr>
              <w:pStyle w:val="TableContents"/>
              <w:bidi w:val="0"/>
              <w:spacing w:before="0" w:after="283"/>
              <w:jc w:val="left"/>
              <w:rPr/>
            </w:pPr>
            <w:hyperlink w:anchor="exhibit_5-1.htm">
              <w:r>
                <w:rPr>
                  <w:rStyle w:val="InternetLink"/>
                  <w:sz w:val="20"/>
                  <w:u w:val="single"/>
                </w:rPr>
                <w:t>Opinion of Goldfarb Gross Seligman &amp; Co., Israeli counsel to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37">
              <w:r>
                <w:rPr>
                  <w:rStyle w:val="InternetLink"/>
                  <w:sz w:val="20"/>
                  <w:u w:val="single"/>
                </w:rPr>
                <w:t>10.1</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r:id="rId38">
              <w:r>
                <w:rPr>
                  <w:rStyle w:val="InternetLink"/>
                  <w:sz w:val="20"/>
                  <w:u w:val="single"/>
                </w:rPr>
                <w:t>Form of Securities Purchase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sz w:val="20"/>
              </w:rPr>
            </w:pPr>
            <w:r>
              <w:rPr>
                <w:sz w:val="20"/>
              </w:rPr>
              <w:t>8-K</w:t>
            </w:r>
          </w:p>
        </w:tc>
        <w:tc>
          <w:tcPr>
            <w:tcW w:w="60" w:type="dxa"/>
            <w:tcBorders/>
            <w:vAlign w:val="center"/>
          </w:tcPr>
          <w:p>
            <w:pPr>
              <w:pStyle w:val="TableContents"/>
              <w:bidi w:val="0"/>
              <w:spacing w:before="0" w:after="283"/>
              <w:jc w:val="center"/>
              <w:rPr/>
            </w:pPr>
            <w:r>
              <w:rPr/>
              <w:t> </w:t>
            </w:r>
          </w:p>
        </w:tc>
        <w:tc>
          <w:tcPr>
            <w:tcW w:w="859" w:type="dxa"/>
            <w:tcBorders/>
            <w:vAlign w:val="center"/>
          </w:tcPr>
          <w:p>
            <w:pPr>
              <w:pStyle w:val="TableContents"/>
              <w:bidi w:val="0"/>
              <w:spacing w:before="0" w:after="283"/>
              <w:jc w:val="center"/>
              <w:rPr>
                <w:sz w:val="20"/>
              </w:rPr>
            </w:pPr>
            <w:r>
              <w:rPr>
                <w:sz w:val="20"/>
              </w:rPr>
              <w:t>001-36612</w:t>
            </w:r>
          </w:p>
        </w:tc>
        <w:tc>
          <w:tcPr>
            <w:tcW w:w="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sz w:val="20"/>
              </w:rPr>
            </w:pPr>
            <w:r>
              <w:rPr>
                <w:sz w:val="20"/>
              </w:rPr>
              <w:t>10.1</w:t>
            </w:r>
          </w:p>
        </w:tc>
        <w:tc>
          <w:tcPr>
            <w:tcW w:w="60" w:type="dxa"/>
            <w:tcBorders/>
            <w:vAlign w:val="center"/>
          </w:tcPr>
          <w:p>
            <w:pPr>
              <w:pStyle w:val="TableContents"/>
              <w:bidi w:val="0"/>
              <w:spacing w:before="0" w:after="283"/>
              <w:jc w:val="center"/>
              <w:rPr/>
            </w:pPr>
            <w:r>
              <w:rPr/>
              <w:t> </w:t>
            </w:r>
          </w:p>
        </w:tc>
        <w:tc>
          <w:tcPr>
            <w:tcW w:w="7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exhibit_23-1.htm">
              <w:r>
                <w:rPr>
                  <w:rStyle w:val="InternetLink"/>
                  <w:sz w:val="20"/>
                  <w:u w:val="single"/>
                </w:rPr>
                <w:t>23.1*</w:t>
              </w:r>
            </w:hyperlink>
          </w:p>
        </w:tc>
        <w:tc>
          <w:tcPr>
            <w:tcW w:w="60" w:type="dxa"/>
            <w:tcBorders/>
            <w:vAlign w:val="center"/>
          </w:tcPr>
          <w:p>
            <w:pPr>
              <w:pStyle w:val="TableContents"/>
              <w:bidi w:val="0"/>
              <w:spacing w:before="0" w:after="283"/>
              <w:jc w:val="left"/>
              <w:rPr>
                <w:sz w:val="20"/>
              </w:rPr>
            </w:pPr>
            <w:r>
              <w:rPr>
                <w:sz w:val="20"/>
                <w:u w:val="single"/>
              </w:rPr>
              <w:br/>
            </w:r>
            <w:r>
              <w:rPr>
                <w:sz w:val="20"/>
              </w:rPr>
              <w:t> </w:t>
            </w:r>
          </w:p>
        </w:tc>
        <w:tc>
          <w:tcPr>
            <w:tcW w:w="6110" w:type="dxa"/>
            <w:tcBorders/>
            <w:vAlign w:val="center"/>
          </w:tcPr>
          <w:p>
            <w:pPr>
              <w:pStyle w:val="TableContents"/>
              <w:bidi w:val="0"/>
              <w:spacing w:before="0" w:after="283"/>
              <w:jc w:val="left"/>
              <w:rPr/>
            </w:pPr>
            <w:hyperlink w:anchor="exhibit_23-1.htm">
              <w:r>
                <w:rPr>
                  <w:rStyle w:val="InternetLink"/>
                  <w:sz w:val="20"/>
                  <w:u w:val="single"/>
                </w:rPr>
                <w:t>Consent of Kost Forer Gabbay &amp; Kasierer, a member of Ernst &amp; Young Global Limited.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exhibit_5-1.htm">
              <w:r>
                <w:rPr>
                  <w:rStyle w:val="InternetLink"/>
                  <w:sz w:val="20"/>
                  <w:u w:val="single"/>
                </w:rPr>
                <w:t>23.2*</w:t>
              </w:r>
            </w:hyperlink>
          </w:p>
        </w:tc>
        <w:tc>
          <w:tcPr>
            <w:tcW w:w="60" w:type="dxa"/>
            <w:tcBorders/>
            <w:vAlign w:val="center"/>
          </w:tcPr>
          <w:p>
            <w:pPr>
              <w:pStyle w:val="TableContents"/>
              <w:bidi w:val="0"/>
              <w:spacing w:before="0" w:after="283"/>
              <w:jc w:val="left"/>
              <w:rPr>
                <w:sz w:val="20"/>
              </w:rPr>
            </w:pPr>
            <w:r>
              <w:rPr>
                <w:sz w:val="20"/>
                <w:u w:val="single"/>
              </w:rPr>
              <w:br/>
            </w:r>
            <w:r>
              <w:rPr>
                <w:sz w:val="20"/>
              </w:rPr>
              <w:t> </w:t>
            </w:r>
          </w:p>
        </w:tc>
        <w:tc>
          <w:tcPr>
            <w:tcW w:w="6110" w:type="dxa"/>
            <w:tcBorders/>
            <w:vAlign w:val="center"/>
          </w:tcPr>
          <w:p>
            <w:pPr>
              <w:pStyle w:val="TableContents"/>
              <w:bidi w:val="0"/>
              <w:spacing w:before="0" w:after="283"/>
              <w:jc w:val="left"/>
              <w:rPr/>
            </w:pPr>
            <w:hyperlink w:anchor="exhibit_5-1.htm">
              <w:r>
                <w:rPr>
                  <w:rStyle w:val="InternetLink"/>
                  <w:sz w:val="20"/>
                  <w:u w:val="single"/>
                </w:rPr>
                <w:t>Consent of Goldfarb Gross Seligman &amp; Co. (included in Exhibit 5.1).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a_030">
              <w:r>
                <w:rPr>
                  <w:rStyle w:val="InternetLink"/>
                  <w:sz w:val="20"/>
                  <w:u w:val="single"/>
                </w:rPr>
                <w:t>24.1*</w:t>
              </w:r>
            </w:hyperlink>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hyperlink w:anchor="a_030">
              <w:r>
                <w:rPr>
                  <w:rStyle w:val="InternetLink"/>
                  <w:sz w:val="20"/>
                  <w:u w:val="single"/>
                </w:rPr>
                <w:t>Power of Attorney (included in signature page to this Registration Statement).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exhibit_107.htm">
              <w:r>
                <w:rPr>
                  <w:rStyle w:val="InternetLink"/>
                  <w:sz w:val="20"/>
                  <w:u w:val="single"/>
                </w:rPr>
                <w:t>107*</w:t>
              </w:r>
            </w:hyperlink>
          </w:p>
        </w:tc>
        <w:tc>
          <w:tcPr>
            <w:tcW w:w="60" w:type="dxa"/>
            <w:tcBorders/>
            <w:vAlign w:val="center"/>
          </w:tcPr>
          <w:p>
            <w:pPr>
              <w:pStyle w:val="TableContents"/>
              <w:bidi w:val="0"/>
              <w:spacing w:before="0" w:after="283"/>
              <w:jc w:val="left"/>
              <w:rPr>
                <w:sz w:val="20"/>
              </w:rPr>
            </w:pPr>
            <w:r>
              <w:rPr>
                <w:sz w:val="20"/>
                <w:u w:val="single"/>
              </w:rPr>
              <w:br/>
            </w:r>
            <w:r>
              <w:rPr>
                <w:sz w:val="20"/>
              </w:rPr>
              <w:t> </w:t>
            </w:r>
          </w:p>
        </w:tc>
        <w:tc>
          <w:tcPr>
            <w:tcW w:w="6110" w:type="dxa"/>
            <w:tcBorders/>
            <w:vAlign w:val="center"/>
          </w:tcPr>
          <w:p>
            <w:pPr>
              <w:pStyle w:val="TableContents"/>
              <w:bidi w:val="0"/>
              <w:spacing w:before="0" w:after="283"/>
              <w:jc w:val="left"/>
              <w:rPr/>
            </w:pPr>
            <w:hyperlink w:anchor="exhibit_107.htm">
              <w:r>
                <w:rPr>
                  <w:rStyle w:val="InternetLink"/>
                  <w:sz w:val="20"/>
                  <w:u w:val="single"/>
                </w:rPr>
                <w:t>Filing Fee Table.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Filed herewith</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283"/>
              <w:ind w:left="0" w:right="0" w:hanging="540"/>
              <w:jc w:val="left"/>
              <w:rPr>
                <w:sz w:val="20"/>
              </w:rPr>
            </w:pPr>
            <w:r>
              <w:rPr>
                <w:sz w:val="20"/>
              </w:rPr>
              <w:t>+</w:t>
            </w:r>
          </w:p>
        </w:tc>
        <w:tc>
          <w:tcPr>
            <w:tcW w:w="6140" w:type="dxa"/>
            <w:tcBorders/>
            <w:vAlign w:val="center"/>
          </w:tcPr>
          <w:p>
            <w:pPr>
              <w:pStyle w:val="TableContents"/>
              <w:bidi w:val="0"/>
              <w:spacing w:before="0" w:after="283"/>
              <w:jc w:val="left"/>
              <w:rPr>
                <w:sz w:val="20"/>
              </w:rPr>
            </w:pPr>
            <w:r>
              <w:rPr>
                <w:sz w:val="20"/>
              </w:rPr>
              <w:t>Schedules have been omitted pursuant to Item 601(b)(2) of Regulation S-K.</w:t>
            </w:r>
          </w:p>
        </w:tc>
      </w:tr>
    </w:tbl>
    <w:p>
      <w:pPr>
        <w:pStyle w:val="TextBody"/>
        <w:bidi w:val="0"/>
        <w:spacing w:before="0" w:after="0"/>
        <w:ind w:left="0" w:right="0" w:hanging="0"/>
        <w:jc w:val="center"/>
        <w:rPr>
          <w:bdr w:val="single" w:sz="8" w:space="1" w:color="000000"/>
        </w:rPr>
      </w:pPr>
      <w:r>
        <w:rPr>
          <w:bdr w:val="single" w:sz="8" w:space="1" w:color="000000"/>
        </w:rPr>
        <w:t>II - 3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sz w:val="20"/>
              </w:rPr>
            </w:pPr>
            <w:r>
              <w:rPr>
                <w:sz w:val="20"/>
              </w:rPr>
              <w:t>(a)</w:t>
            </w:r>
          </w:p>
        </w:tc>
        <w:tc>
          <w:tcPr>
            <w:tcW w:w="3800" w:type="dxa"/>
            <w:tcBorders/>
            <w:vAlign w:val="center"/>
          </w:tcPr>
          <w:p>
            <w:pPr>
              <w:pStyle w:val="TableContents"/>
              <w:bidi w:val="0"/>
              <w:spacing w:before="0" w:after="283"/>
              <w:jc w:val="both"/>
              <w:rPr>
                <w:sz w:val="20"/>
              </w:rPr>
            </w:pPr>
            <w:r>
              <w:rPr>
                <w:sz w:val="20"/>
              </w:rPr>
              <w:t>The undersigned registrant hereby undertakes:</w:t>
            </w:r>
          </w:p>
        </w:tc>
      </w:tr>
      <w:tr>
        <w:trPr/>
        <w:tc>
          <w:tcPr>
            <w:tcW w:w="24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91"/>
        <w:gridCol w:w="266"/>
        <w:gridCol w:w="9673"/>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20"/>
              </w:rPr>
            </w:pPr>
            <w:r>
              <w:rPr>
                <w:sz w:val="20"/>
              </w:rPr>
              <w:t>(1)</w:t>
            </w:r>
          </w:p>
        </w:tc>
        <w:tc>
          <w:tcPr>
            <w:tcW w:w="9939" w:type="dxa"/>
            <w:gridSpan w:val="2"/>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r>
        <w:trPr/>
        <w:tc>
          <w:tcPr>
            <w:tcW w:w="266"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266"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20"/>
              </w:rPr>
            </w:pPr>
            <w:r>
              <w:rPr>
                <w:sz w:val="20"/>
              </w:rPr>
              <w:t>(i)</w:t>
            </w:r>
          </w:p>
        </w:tc>
        <w:tc>
          <w:tcPr>
            <w:tcW w:w="9673" w:type="dxa"/>
            <w:tcBorders/>
            <w:vAlign w:val="center"/>
          </w:tcPr>
          <w:p>
            <w:pPr>
              <w:pStyle w:val="TableContents"/>
              <w:bidi w:val="0"/>
              <w:spacing w:before="0" w:after="283"/>
              <w:jc w:val="both"/>
              <w:rPr>
                <w:sz w:val="20"/>
              </w:rPr>
            </w:pPr>
            <w:r>
              <w:rPr>
                <w:sz w:val="20"/>
              </w:rPr>
              <w:t>to include any prospectus required by Section 10(a)(3) of the Securities Act;</w:t>
            </w:r>
          </w:p>
        </w:tc>
      </w:tr>
      <w:tr>
        <w:trPr/>
        <w:tc>
          <w:tcPr>
            <w:tcW w:w="266"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266"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20"/>
              </w:rPr>
            </w:pPr>
            <w:r>
              <w:rPr>
                <w:sz w:val="20"/>
              </w:rPr>
              <w:t>(ii)</w:t>
            </w:r>
          </w:p>
        </w:tc>
        <w:tc>
          <w:tcPr>
            <w:tcW w:w="9673" w:type="dxa"/>
            <w:tcBorders/>
            <w:vAlign w:val="center"/>
          </w:tcPr>
          <w:p>
            <w:pPr>
              <w:pStyle w:val="TableContents"/>
              <w:bidi w:val="0"/>
              <w:spacing w:before="0" w:after="283"/>
              <w:jc w:val="both"/>
              <w:rPr>
                <w:sz w:val="20"/>
              </w:rPr>
            </w:pPr>
            <w:r>
              <w:rPr>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r>
        <w:trPr/>
        <w:tc>
          <w:tcPr>
            <w:tcW w:w="266"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266"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20"/>
              </w:rPr>
            </w:pPr>
            <w:r>
              <w:rPr>
                <w:sz w:val="20"/>
              </w:rPr>
              <w:t>(iii)</w:t>
            </w:r>
          </w:p>
        </w:tc>
        <w:tc>
          <w:tcPr>
            <w:tcW w:w="9673"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this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(1)(ii) and (1)(iii)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pStyle w:val="TextBody"/>
        <w:bidi w:val="0"/>
        <w:spacing w:before="0" w:after="0"/>
        <w:jc w:val="center"/>
        <w:rPr>
          <w:bdr w:val="single" w:sz="8" w:space="1" w:color="000000"/>
        </w:rPr>
      </w:pPr>
      <w:r>
        <w:rPr>
          <w:bdr w:val="single" w:sz="8" w:space="1" w:color="000000"/>
        </w:rPr>
        <w:t>II - 4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204"/>
        <w:gridCol w:w="9737"/>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(2)</w:t>
            </w:r>
          </w:p>
        </w:tc>
        <w:tc>
          <w:tcPr>
            <w:tcW w:w="9941" w:type="dxa"/>
            <w:gridSpan w:val="2"/>
            <w:tcBorders/>
            <w:vAlign w:val="center"/>
          </w:tcPr>
          <w:p>
            <w:pPr>
              <w:pStyle w:val="TableContents"/>
              <w:bidi w:val="0"/>
              <w:spacing w:before="0" w:after="283"/>
              <w:jc w:val="both"/>
              <w:rPr>
                <w:sz w:val="20"/>
              </w:rPr>
            </w:pPr>
            <w:r>
              <w:rPr>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(3)</w:t>
            </w:r>
          </w:p>
        </w:tc>
        <w:tc>
          <w:tcPr>
            <w:tcW w:w="9941" w:type="dxa"/>
            <w:gridSpan w:val="2"/>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(4)</w:t>
            </w:r>
          </w:p>
        </w:tc>
        <w:tc>
          <w:tcPr>
            <w:tcW w:w="9941" w:type="dxa"/>
            <w:gridSpan w:val="2"/>
            <w:tcBorders/>
            <w:vAlign w:val="center"/>
          </w:tcPr>
          <w:p>
            <w:pPr>
              <w:pStyle w:val="TableContents"/>
              <w:bidi w:val="0"/>
              <w:spacing w:before="0" w:after="283"/>
              <w:jc w:val="both"/>
              <w:rPr>
                <w:sz w:val="20"/>
              </w:rPr>
            </w:pPr>
            <w:r>
              <w:rPr>
                <w:sz w:val="20"/>
              </w:rPr>
              <w:t>That, for the purpose of determining liability under the Securities Act to any purchaser:</w:t>
            </w:r>
          </w:p>
        </w:tc>
      </w:tr>
      <w:tr>
        <w:trPr/>
        <w:tc>
          <w:tcPr>
            <w:tcW w:w="264" w:type="dxa"/>
            <w:gridSpan w:val="2"/>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37" w:type="dxa"/>
            <w:tcBorders/>
            <w:vAlign w:val="center"/>
          </w:tcPr>
          <w:p>
            <w:pPr>
              <w:pStyle w:val="TableContents"/>
              <w:bidi w:val="0"/>
              <w:spacing w:before="0" w:after="283"/>
              <w:jc w:val="left"/>
              <w:rPr/>
            </w:pPr>
            <w:r>
              <w:rPr/>
              <w:t> </w:t>
            </w:r>
          </w:p>
        </w:tc>
      </w:tr>
      <w:tr>
        <w:trPr/>
        <w:tc>
          <w:tcPr>
            <w:tcW w:w="264" w:type="dxa"/>
            <w:gridSpan w:val="2"/>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(i)</w:t>
            </w:r>
          </w:p>
        </w:tc>
        <w:tc>
          <w:tcPr>
            <w:tcW w:w="9737" w:type="dxa"/>
            <w:tcBorders/>
            <w:vAlign w:val="center"/>
          </w:tcPr>
          <w:p>
            <w:pPr>
              <w:pStyle w:val="TableContents"/>
              <w:bidi w:val="0"/>
              <w:spacing w:before="0" w:after="283"/>
              <w:jc w:val="both"/>
              <w:rPr>
                <w:sz w:val="20"/>
              </w:rPr>
            </w:pPr>
            <w:r>
              <w:rPr>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264" w:type="dxa"/>
            <w:gridSpan w:val="2"/>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37" w:type="dxa"/>
            <w:tcBorders/>
            <w:vAlign w:val="center"/>
          </w:tcPr>
          <w:p>
            <w:pPr>
              <w:pStyle w:val="TableContents"/>
              <w:bidi w:val="0"/>
              <w:spacing w:before="0" w:after="283"/>
              <w:jc w:val="left"/>
              <w:rPr/>
            </w:pPr>
            <w:r>
              <w:rPr/>
              <w:t> </w:t>
            </w:r>
          </w:p>
        </w:tc>
      </w:tr>
      <w:tr>
        <w:trPr/>
        <w:tc>
          <w:tcPr>
            <w:tcW w:w="264" w:type="dxa"/>
            <w:gridSpan w:val="2"/>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(ii)</w:t>
            </w:r>
          </w:p>
        </w:tc>
        <w:tc>
          <w:tcPr>
            <w:tcW w:w="9737" w:type="dxa"/>
            <w:tcBorders/>
            <w:vAlign w:val="center"/>
          </w:tcPr>
          <w:p>
            <w:pPr>
              <w:pStyle w:val="TableContents"/>
              <w:bidi w:val="0"/>
              <w:spacing w:before="0" w:after="283"/>
              <w:jc w:val="both"/>
              <w:rPr>
                <w:sz w:val="20"/>
              </w:rPr>
            </w:pPr>
            <w:r>
              <w:rPr>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i/>
                <w:sz w:val="20"/>
              </w:rPr>
              <w:t>bona fide</w:t>
            </w:r>
            <w:r>
              <w:rPr>
                <w:sz w:val="20"/>
              </w:rPr>
              <w:t xml:space="preserve"> offering thereof. </w:t>
            </w:r>
            <w:r>
              <w:rPr>
                <w:i/>
                <w:sz w:val="20"/>
              </w:rPr>
              <w:t>Provided, however</w:t>
            </w:r>
            <w:r>
              <w:rPr>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r>
        <w:trPr/>
        <w:tc>
          <w:tcPr>
            <w:tcW w:w="264" w:type="dxa"/>
            <w:gridSpan w:val="2"/>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3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20"/>
              </w:rPr>
            </w:pPr>
            <w:r>
              <w:rPr>
                <w:sz w:val="20"/>
              </w:rPr>
              <w:t>(b)</w:t>
            </w:r>
          </w:p>
        </w:tc>
        <w:tc>
          <w:tcPr>
            <w:tcW w:w="9994" w:type="dxa"/>
            <w:tcBorders/>
            <w:vAlign w:val="center"/>
          </w:tcPr>
          <w:p>
            <w:pPr>
              <w:pStyle w:val="TableContents"/>
              <w:bidi w:val="0"/>
              <w:spacing w:before="0" w:after="283"/>
              <w:jc w:val="both"/>
              <w:rPr>
                <w:sz w:val="20"/>
              </w:rPr>
            </w:pPr>
            <w:r>
              <w:rPr>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r>
        <w:trPr/>
        <w:tc>
          <w:tcPr>
            <w:tcW w:w="211" w:type="dxa"/>
            <w:tcBorders/>
            <w:vAlign w:val="center"/>
          </w:tcPr>
          <w:p>
            <w:pPr>
              <w:pStyle w:val="TableContents"/>
              <w:bidi w:val="0"/>
              <w:spacing w:before="0" w:after="283"/>
              <w:jc w:val="left"/>
              <w:rPr/>
            </w:pPr>
            <w:r>
              <w:rPr/>
              <w:t> </w:t>
            </w:r>
          </w:p>
        </w:tc>
        <w:tc>
          <w:tcPr>
            <w:tcW w:w="999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sz w:val="20"/>
              </w:rPr>
            </w:pPr>
            <w:r>
              <w:rPr>
                <w:sz w:val="20"/>
              </w:rPr>
              <w:t>(c)</w:t>
            </w:r>
          </w:p>
        </w:tc>
        <w:tc>
          <w:tcPr>
            <w:tcW w:w="10015" w:type="dxa"/>
            <w:tcBorders/>
            <w:vAlign w:val="center"/>
          </w:tcPr>
          <w:p>
            <w:pPr>
              <w:pStyle w:val="TableContents"/>
              <w:bidi w:val="0"/>
              <w:spacing w:before="0" w:after="283"/>
              <w:jc w:val="both"/>
              <w:rPr>
                <w:sz w:val="20"/>
              </w:rPr>
            </w:pPr>
            <w:r>
              <w:rPr>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center"/>
        <w:rPr>
          <w:bdr w:val="single" w:sz="8" w:space="1" w:color="000000"/>
        </w:rPr>
      </w:pPr>
      <w:r>
        <w:rPr>
          <w:bdr w:val="single" w:sz="8" w:space="1" w:color="000000"/>
        </w:rPr>
        <w:t>II - 5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Hudson, Massachusetts on this 3rd day of August, 2026.</w:t>
      </w:r>
    </w:p>
    <w:p>
      <w:pPr>
        <w:pStyle w:val="TextBody"/>
        <w:bidi w:val="0"/>
        <w:spacing w:before="0" w:after="0"/>
        <w:ind w:left="0" w:right="0" w:firstLine="49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2290" w:type="dxa"/>
            <w:gridSpan w:val="2"/>
            <w:tcBorders/>
            <w:vAlign w:val="center"/>
          </w:tcPr>
          <w:p>
            <w:pPr>
              <w:pStyle w:val="TableContents"/>
              <w:bidi w:val="0"/>
              <w:spacing w:before="0" w:after="283"/>
              <w:jc w:val="left"/>
              <w:rPr>
                <w:b/>
                <w:sz w:val="20"/>
              </w:rPr>
            </w:pPr>
            <w:r>
              <w:rPr>
                <w:b/>
                <w:sz w:val="20"/>
              </w:rPr>
              <w:t>Lifeward Ltd.</w:t>
            </w:r>
          </w:p>
        </w:tc>
      </w:tr>
      <w:tr>
        <w:trPr/>
        <w:tc>
          <w:tcPr>
            <w:tcW w:w="2290" w:type="dxa"/>
            <w:gridSpan w:val="2"/>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1955" w:type="dxa"/>
            <w:tcBorders/>
            <w:vAlign w:val="center"/>
          </w:tcPr>
          <w:p>
            <w:pPr>
              <w:pStyle w:val="TableContents"/>
              <w:bidi w:val="0"/>
              <w:spacing w:before="0" w:after="283"/>
              <w:jc w:val="left"/>
              <w:rPr>
                <w:sz w:val="20"/>
                <w:u w:val="single"/>
              </w:rPr>
            </w:pPr>
            <w:r>
              <w:rPr>
                <w:sz w:val="20"/>
                <w:u w:val="single"/>
              </w:rPr>
              <w:t>/s/ William Mark Grant</w:t>
            </w:r>
          </w:p>
        </w:tc>
      </w:tr>
      <w:tr>
        <w:trPr/>
        <w:tc>
          <w:tcPr>
            <w:tcW w:w="33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William Mark Grant</w:t>
            </w:r>
          </w:p>
        </w:tc>
      </w:tr>
      <w:tr>
        <w:trPr/>
        <w:tc>
          <w:tcPr>
            <w:tcW w:w="33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30"/>
      <w:bookmarkEnd w:id="16"/>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William Mark Grant and Almog Adar, and each of them, as his/her true and lawful attorney-in-fact and agent, each acting alone, with full power of substitution and resubstitution, for him/her and in his/her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his/her substitute or substitutes, may lawfully do or cause to be done by virtue hereof.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firstLine="490"/>
        <w:jc w:val="left"/>
        <w:rPr>
          <w:caps w:val="false"/>
          <w:smallCaps w:val="false"/>
        </w:rPr>
      </w:pPr>
      <w:r>
        <w:rPr>
          <w:caps w:val="false"/>
          <w:smallCaps w:val="false"/>
        </w:rPr>
        <w:t> </w:t>
      </w:r>
    </w:p>
    <w:tbl>
      <w:tblPr>
        <w:tblW w:w="8550" w:type="dxa"/>
        <w:jc w:val="left"/>
        <w:tblInd w:w="0" w:type="dxa"/>
        <w:tblLayout w:type="fixed"/>
        <w:tblCellMar>
          <w:top w:w="0" w:type="dxa"/>
          <w:left w:w="0" w:type="dxa"/>
          <w:bottom w:w="0" w:type="dxa"/>
          <w:right w:w="0" w:type="dxa"/>
        </w:tblCellMar>
      </w:tblPr>
      <w:tblGrid>
        <w:gridCol w:w="2090"/>
        <w:gridCol w:w="5180"/>
        <w:gridCol w:w="1280"/>
      </w:tblGrid>
      <w:tr>
        <w:trPr/>
        <w:tc>
          <w:tcPr>
            <w:tcW w:w="2090" w:type="dxa"/>
            <w:tcBorders/>
            <w:vAlign w:val="center"/>
          </w:tcPr>
          <w:p>
            <w:pPr>
              <w:pStyle w:val="TableContents"/>
              <w:bidi w:val="0"/>
              <w:spacing w:before="0" w:after="283"/>
              <w:jc w:val="center"/>
              <w:rPr>
                <w:b/>
                <w:sz w:val="20"/>
              </w:rPr>
            </w:pPr>
            <w:r>
              <w:rPr>
                <w:b/>
                <w:sz w:val="20"/>
              </w:rPr>
              <w:t>Signature</w:t>
            </w:r>
          </w:p>
        </w:tc>
        <w:tc>
          <w:tcPr>
            <w:tcW w:w="5180" w:type="dxa"/>
            <w:tcBorders/>
            <w:vAlign w:val="center"/>
          </w:tcPr>
          <w:p>
            <w:pPr>
              <w:pStyle w:val="TableContents"/>
              <w:bidi w:val="0"/>
              <w:spacing w:before="0" w:after="283"/>
              <w:jc w:val="center"/>
              <w:rPr>
                <w:b/>
                <w:sz w:val="20"/>
              </w:rPr>
            </w:pPr>
            <w:r>
              <w:rPr>
                <w:b/>
                <w:sz w:val="20"/>
              </w:rPr>
              <w:t>Title</w:t>
            </w:r>
          </w:p>
        </w:tc>
        <w:tc>
          <w:tcPr>
            <w:tcW w:w="1280" w:type="dxa"/>
            <w:tcBorders/>
            <w:vAlign w:val="center"/>
          </w:tcPr>
          <w:p>
            <w:pPr>
              <w:pStyle w:val="TableContents"/>
              <w:bidi w:val="0"/>
              <w:spacing w:before="0" w:after="283"/>
              <w:jc w:val="center"/>
              <w:rPr>
                <w:b/>
                <w:sz w:val="20"/>
              </w:rPr>
            </w:pPr>
            <w:r>
              <w:rPr>
                <w:b/>
                <w:sz w:val="20"/>
              </w:rPr>
              <w:t>Date</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William Mark Grant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Mark Grant</w:t>
            </w:r>
          </w:p>
        </w:tc>
        <w:tc>
          <w:tcPr>
            <w:tcW w:w="51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President and Chief Executive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Almog Adar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Almog Adar</w:t>
            </w:r>
          </w:p>
        </w:tc>
        <w:tc>
          <w:tcPr>
            <w:tcW w:w="51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 and Principal Accounting Officer</w:t>
            </w:r>
            <w:r>
              <w:rPr>
                <w:rFonts w:ascii="Times New Roman;Times;Serif" w:hAnsi="Times New Roman;Times;Serif"/>
                <w:b w:val="false"/>
                <w:i w:val="false"/>
                <w:caps w:val="false"/>
                <w:smallCaps w:val="false"/>
                <w:sz w:val="20"/>
              </w:rPr>
              <w:t>)</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Robert Marshall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Marshall</w:t>
            </w:r>
          </w:p>
        </w:tc>
        <w:tc>
          <w:tcPr>
            <w:tcW w:w="5180" w:type="dxa"/>
            <w:tcBorders/>
            <w:vAlign w:val="center"/>
          </w:tcPr>
          <w:p>
            <w:pPr>
              <w:pStyle w:val="TableContents"/>
              <w:bidi w:val="0"/>
              <w:spacing w:before="0" w:after="283"/>
              <w:jc w:val="center"/>
              <w:rPr>
                <w:sz w:val="20"/>
              </w:rPr>
            </w:pPr>
            <w:r>
              <w:rPr>
                <w:sz w:val="20"/>
              </w:rPr>
              <w:t>Chairman of the Board</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Mike Swinford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Swinford</w:t>
            </w:r>
          </w:p>
        </w:tc>
        <w:tc>
          <w:tcPr>
            <w:tcW w:w="5180" w:type="dxa"/>
            <w:tcBorders/>
            <w:vAlign w:val="center"/>
          </w:tcPr>
          <w:p>
            <w:pPr>
              <w:pStyle w:val="TableContents"/>
              <w:bidi w:val="0"/>
              <w:spacing w:before="0" w:after="283"/>
              <w:jc w:val="center"/>
              <w:rPr>
                <w:sz w:val="20"/>
              </w:rPr>
            </w:pPr>
            <w:r>
              <w:rPr>
                <w:sz w:val="20"/>
              </w:rPr>
              <w:t>Director</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Moshe Rozenbaum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Moshe Rozenbaum</w:t>
            </w:r>
          </w:p>
        </w:tc>
        <w:tc>
          <w:tcPr>
            <w:tcW w:w="5180" w:type="dxa"/>
            <w:tcBorders/>
            <w:vAlign w:val="center"/>
          </w:tcPr>
          <w:p>
            <w:pPr>
              <w:pStyle w:val="TableContents"/>
              <w:bidi w:val="0"/>
              <w:spacing w:before="0" w:after="283"/>
              <w:jc w:val="center"/>
              <w:rPr>
                <w:sz w:val="20"/>
              </w:rPr>
            </w:pPr>
            <w:r>
              <w:rPr>
                <w:sz w:val="20"/>
              </w:rPr>
              <w:t>Director</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William Mark Sigsbee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Mark Sigsbee</w:t>
            </w:r>
          </w:p>
        </w:tc>
        <w:tc>
          <w:tcPr>
            <w:tcW w:w="5180" w:type="dxa"/>
            <w:tcBorders/>
            <w:vAlign w:val="center"/>
          </w:tcPr>
          <w:p>
            <w:pPr>
              <w:pStyle w:val="TableContents"/>
              <w:bidi w:val="0"/>
              <w:spacing w:before="0" w:after="283"/>
              <w:jc w:val="center"/>
              <w:rPr>
                <w:sz w:val="20"/>
              </w:rPr>
            </w:pPr>
            <w:r>
              <w:rPr>
                <w:sz w:val="20"/>
              </w:rPr>
              <w:t>Director</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Nadav Kidron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w:t>
            </w:r>
          </w:p>
        </w:tc>
        <w:tc>
          <w:tcPr>
            <w:tcW w:w="5180" w:type="dxa"/>
            <w:tcBorders/>
            <w:vAlign w:val="center"/>
          </w:tcPr>
          <w:p>
            <w:pPr>
              <w:pStyle w:val="TableContents"/>
              <w:bidi w:val="0"/>
              <w:spacing w:before="0" w:after="283"/>
              <w:jc w:val="center"/>
              <w:rPr>
                <w:sz w:val="20"/>
              </w:rPr>
            </w:pPr>
            <w:r>
              <w:rPr>
                <w:sz w:val="20"/>
              </w:rPr>
              <w:t>Director</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Miriam Kidron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Miriam Kidron</w:t>
            </w:r>
          </w:p>
        </w:tc>
        <w:tc>
          <w:tcPr>
            <w:tcW w:w="5180" w:type="dxa"/>
            <w:tcBorders/>
            <w:vAlign w:val="center"/>
          </w:tcPr>
          <w:p>
            <w:pPr>
              <w:pStyle w:val="TableContents"/>
              <w:bidi w:val="0"/>
              <w:spacing w:before="0" w:after="283"/>
              <w:jc w:val="center"/>
              <w:rPr>
                <w:sz w:val="20"/>
              </w:rPr>
            </w:pPr>
            <w:r>
              <w:rPr>
                <w:sz w:val="20"/>
              </w:rPr>
              <w:t>Director</w:t>
            </w:r>
          </w:p>
        </w:tc>
        <w:tc>
          <w:tcPr>
            <w:tcW w:w="1280" w:type="dxa"/>
            <w:tcBorders/>
            <w:vAlign w:val="center"/>
          </w:tcPr>
          <w:p>
            <w:pPr>
              <w:pStyle w:val="TableContents"/>
              <w:bidi w:val="0"/>
              <w:spacing w:before="0" w:after="283"/>
              <w:jc w:val="center"/>
              <w:rPr>
                <w:sz w:val="20"/>
              </w:rPr>
            </w:pPr>
            <w:r>
              <w:rPr>
                <w:sz w:val="20"/>
              </w:rPr>
              <w:t>August 3, 2026</w:t>
            </w:r>
          </w:p>
        </w:tc>
      </w:tr>
      <w:tr>
        <w:trPr/>
        <w:tc>
          <w:tcPr>
            <w:tcW w:w="209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Yehuda Reznick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Yehuda Reznick</w:t>
            </w:r>
          </w:p>
        </w:tc>
        <w:tc>
          <w:tcPr>
            <w:tcW w:w="5180" w:type="dxa"/>
            <w:tcBorders/>
            <w:vAlign w:val="center"/>
          </w:tcPr>
          <w:p>
            <w:pPr>
              <w:pStyle w:val="TableContents"/>
              <w:bidi w:val="0"/>
              <w:spacing w:before="0" w:after="283"/>
              <w:jc w:val="center"/>
              <w:rPr>
                <w:sz w:val="20"/>
              </w:rPr>
            </w:pPr>
            <w:r>
              <w:rPr>
                <w:sz w:val="20"/>
              </w:rPr>
              <w:t>Director</w:t>
            </w:r>
          </w:p>
        </w:tc>
        <w:tc>
          <w:tcPr>
            <w:tcW w:w="1280" w:type="dxa"/>
            <w:tcBorders/>
            <w:vAlign w:val="center"/>
          </w:tcPr>
          <w:p>
            <w:pPr>
              <w:pStyle w:val="TableContents"/>
              <w:bidi w:val="0"/>
              <w:spacing w:before="0" w:after="283"/>
              <w:jc w:val="center"/>
              <w:rPr>
                <w:sz w:val="20"/>
              </w:rPr>
            </w:pPr>
            <w:r>
              <w:rPr>
                <w:sz w:val="20"/>
              </w:rPr>
              <w:t>August 3, 2026</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- 6</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17" w:name="exhibit_5-1.htm"/>
      <w:bookmarkStart w:id="18" w:name="ksexhibit_51"/>
      <w:bookmarkEnd w:id="17"/>
      <w:bookmarkEnd w:id="18"/>
      <w:r>
        <w:rPr>
          <w:bdr w:val="single" w:sz="16" w:space="1" w:color="000000"/>
        </w:rPr>
        <w:t> </w:t>
      </w:r>
      <w:r>
        <w:br w:type="page"/>
      </w:r>
    </w:p>
    <w:p>
      <w:pPr>
        <w:pStyle w:val="TextBody"/>
        <w:bidi w:val="0"/>
        <w:jc w:val="right"/>
        <w:rPr>
          <w:b/>
          <w:u w:val="single"/>
        </w:rPr>
      </w:pPr>
      <w:r>
        <w:rPr>
          <w:b/>
          <w:u w:val="single"/>
        </w:rPr>
        <w:t>Exhibit 5.1</w:t>
      </w:r>
    </w:p>
    <w:p>
      <w:pPr>
        <w:pStyle w:val="TextBody"/>
        <w:bidi w:val="0"/>
        <w:spacing w:before="0" w:after="283"/>
        <w:jc w:val="left"/>
        <w:rPr/>
      </w:pPr>
      <w:r>
        <w:rPr/>
        <w:t> </w:t>
      </w:r>
      <w:r>
        <w:rPr/>
        <w:drawing>
          <wp:inline distT="0" distB="0" distL="0" distR="0">
            <wp:extent cx="1242060" cy="91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9"/>
                    <a:stretch>
                      <a:fillRect/>
                    </a:stretch>
                  </pic:blipFill>
                  <pic:spPr bwMode="auto">
                    <a:xfrm>
                      <a:off x="0" y="0"/>
                      <a:ext cx="1242060" cy="914400"/>
                    </a:xfrm>
                    <a:prstGeom prst="rect">
                      <a:avLst/>
                    </a:prstGeom>
                  </pic:spPr>
                </pic:pic>
              </a:graphicData>
            </a:graphic>
          </wp:inline>
        </w:drawing>
      </w:r>
    </w:p>
    <w:p>
      <w:pPr>
        <w:pStyle w:val="TextBody"/>
        <w:bidi w:val="0"/>
        <w:spacing w:before="0" w:after="283"/>
        <w:jc w:val="left"/>
        <w:rPr/>
      </w:pPr>
      <w:r>
        <w:rPr/>
        <w:t> </w:t>
      </w:r>
    </w:p>
    <w:tbl>
      <w:tblPr>
        <w:tblW w:w="1580" w:type="dxa"/>
        <w:jc w:val="left"/>
        <w:tblInd w:w="0" w:type="dxa"/>
        <w:tblLayout w:type="fixed"/>
        <w:tblCellMar>
          <w:top w:w="0" w:type="dxa"/>
          <w:left w:w="0" w:type="dxa"/>
          <w:bottom w:w="0" w:type="dxa"/>
          <w:right w:w="0" w:type="dxa"/>
        </w:tblCellMar>
      </w:tblPr>
      <w:tblGrid>
        <w:gridCol w:w="75"/>
        <w:gridCol w:w="1505"/>
      </w:tblGrid>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August 3, 2026</w:t>
            </w:r>
          </w:p>
        </w:tc>
      </w:tr>
    </w:tbl>
    <w:p>
      <w:pPr>
        <w:pStyle w:val="TextBody"/>
        <w:bidi w:val="0"/>
        <w:spacing w:before="0" w:after="0"/>
        <w:ind w:left="6480" w:right="0" w:hanging="1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Lifeward Ltd.</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Cabot Rd.</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Hudson, MA 01749</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Registration Statement on Form S-3 (the “Registration Statement”) pursuant to the Securities Act of 1933, as amended (the “Act”),  to be filed by Lifeward Ltd., an Israeli company (the “Company”), on or about the date hereof with the United States Securities and Exchange Commission, as thereafter amended or supplemented, relating to the resale by the selling shareholders named in the Registration Statement (the “Selling Shareholders”), from time to time, of up to 2,066,662 ordinary shares, no par value (the “Shares”). The Shares consist of 1,033,331 Shares issuable upon conversion of the Initial Notes (as defined in the Registration Statement) and 1,033,331 Shares issuable upon exercise of the Initial Warrants (as defined in the Registration Statement).</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and relied without investigation as to matters of fact upon the Registration Statement and the exhibits thereto and such certificates and statements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in reliance thereon and subject to the assumptions, comments, qualifications, limitations and exceptions stated herein, we are of the opinion that (i) the Shares issuable upon the conversion of the Initial Notes are duly authorized and, when issued upon the conversion of the Initial Notes in accordance with the terms thereof, will be validly issued, fully paid and non-assessable, and (ii) the Shares issuable upon the exercise of the Initial Warrants are duly authorized and, when issued upon the exercise of the Initial Warrants in accordance with the terms thereof, will be validly issued, fully paid and non-assessable.</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Israel Bar and we express no opinion as to any matter relating to the laws of any jurisdiction other than the laws of Israel.</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in this letter is effective as of the date hereof. We do not undertake to advise you of any changes in our opinion expressed herein resulting from matters that may arise after the date of this letter or that hereafter may be brought to our attention. We hereby consent to the filing of this opinion as an exhibit to the Registration Statement, and the references to this firm in the sections entitled “Legal Matters” and “Enforceability of Civil Liabilities” in the prospectus forming part of the Registration Statement.  This consent is not to be construed as an admission that we are a party whose consent is required to be filed under the provisions of the Act as part of the Registration Statement. We express no opinion other than as herein expressly set forth, and no opinion may be inferred or implied beyond that expressly stated herein.</w:t>
      </w:r>
    </w:p>
    <w:p>
      <w:pPr>
        <w:pStyle w:val="TextBody"/>
        <w:bidi w:val="0"/>
        <w:spacing w:before="0" w:after="0"/>
        <w:ind w:left="10" w:right="0" w:hanging="10"/>
        <w:jc w:val="left"/>
        <w:rPr>
          <w:caps w:val="false"/>
          <w:smallCaps w:val="false"/>
        </w:rPr>
      </w:pPr>
      <w:r>
        <w:rPr>
          <w:caps w:val="false"/>
          <w:smallCaps w:val="false"/>
        </w:rPr>
        <w:t> </w:t>
      </w:r>
    </w:p>
    <w:tbl>
      <w:tblPr>
        <w:tblW w:w="4511" w:type="dxa"/>
        <w:jc w:val="left"/>
        <w:tblInd w:w="0" w:type="dxa"/>
        <w:tblLayout w:type="fixed"/>
        <w:tblCellMar>
          <w:top w:w="0" w:type="dxa"/>
          <w:left w:w="0" w:type="dxa"/>
          <w:bottom w:w="0" w:type="dxa"/>
          <w:right w:w="0" w:type="dxa"/>
        </w:tblCellMar>
      </w:tblPr>
      <w:tblGrid>
        <w:gridCol w:w="38"/>
        <w:gridCol w:w="4473"/>
      </w:tblGrid>
      <w:tr>
        <w:trPr/>
        <w:tc>
          <w:tcPr>
            <w:tcW w:w="38" w:type="dxa"/>
            <w:tcBorders/>
            <w:vAlign w:val="center"/>
          </w:tcPr>
          <w:p>
            <w:pPr>
              <w:pStyle w:val="TableContents"/>
              <w:bidi w:val="0"/>
              <w:spacing w:before="0" w:after="283"/>
              <w:jc w:val="left"/>
              <w:rPr>
                <w:sz w:val="4"/>
                <w:szCs w:val="4"/>
              </w:rPr>
            </w:pPr>
            <w:r>
              <w:rPr>
                <w:sz w:val="4"/>
                <w:szCs w:val="4"/>
              </w:rPr>
            </w:r>
          </w:p>
        </w:tc>
        <w:tc>
          <w:tcPr>
            <w:tcW w:w="4473" w:type="dxa"/>
            <w:tcBorders/>
            <w:vAlign w:val="center"/>
          </w:tcPr>
          <w:p>
            <w:pPr>
              <w:pStyle w:val="TableContents"/>
              <w:bidi w:val="0"/>
              <w:spacing w:before="0" w:after="0"/>
              <w:ind w:left="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1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Goldfarb Gross Seligman &amp; Co.</w:t>
            </w:r>
          </w:p>
          <w:p>
            <w:pPr>
              <w:pStyle w:val="TableContents"/>
              <w:bidi w:val="0"/>
              <w:spacing w:before="0" w:after="0"/>
              <w:ind w:left="10" w:right="0" w:firstLine="18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Goldfarb Gross Seligman &amp; Co.</w:t>
            </w:r>
          </w:p>
        </w:tc>
      </w:tr>
    </w:tbl>
    <w:p>
      <w:pPr>
        <w:pStyle w:val="TextBody"/>
        <w:bidi w:val="0"/>
        <w:spacing w:before="0" w:after="283"/>
        <w:jc w:val="left"/>
        <w:rPr/>
      </w:pPr>
      <w:r>
        <w:rPr/>
        <w:t> </w:t>
      </w:r>
    </w:p>
    <w:p>
      <w:pPr>
        <w:pStyle w:val="TextBody"/>
        <w:bidi w:val="0"/>
        <w:ind w:left="10" w:right="0" w:hanging="0"/>
        <w:jc w:val="center"/>
        <w:rPr/>
      </w:pPr>
      <w:r>
        <w:rPr/>
        <w:t> </w:t>
      </w:r>
      <w:r>
        <w:rPr/>
        <w:drawing>
          <wp:inline distT="0" distB="0" distL="0" distR="0">
            <wp:extent cx="6477000" cy="6248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0"/>
                    <a:stretch>
                      <a:fillRect/>
                    </a:stretch>
                  </pic:blipFill>
                  <pic:spPr bwMode="auto">
                    <a:xfrm>
                      <a:off x="0" y="0"/>
                      <a:ext cx="6477000" cy="624840"/>
                    </a:xfrm>
                    <a:prstGeom prst="rect">
                      <a:avLst/>
                    </a:prstGeom>
                  </pic:spPr>
                </pic:pic>
              </a:graphicData>
            </a:graphic>
          </wp:inline>
        </w:drawing>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19" w:name="exhibit_23-1.htm"/>
      <w:bookmarkStart w:id="20" w:name="ksexhibit_231"/>
      <w:bookmarkEnd w:id="19"/>
      <w:bookmarkEnd w:id="20"/>
      <w:r>
        <w:rPr>
          <w:bdr w:val="single" w:sz="16" w:space="1" w:color="000000"/>
        </w:rPr>
        <w:t> </w:t>
      </w:r>
      <w:r>
        <w:br w:type="page"/>
      </w:r>
    </w:p>
    <w:p>
      <w:pPr>
        <w:pStyle w:val="TextBody"/>
        <w:bidi w:val="0"/>
        <w:jc w:val="right"/>
        <w:rPr>
          <w:b/>
          <w:u w:val="single"/>
        </w:rPr>
      </w:pPr>
      <w:r>
        <w:rPr>
          <w:b/>
          <w:u w:val="single"/>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Lifeward Ltd. for the registration of ordinary shares and to the incorporation by reference therein of our report dated March 18, 2026, with respect to the consolidated financial statements of Lifeward Ltd. included in its Annual Report (Form 10-K) for the year ended December 31,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3485"/>
        <w:gridCol w:w="75"/>
      </w:tblGrid>
      <w:tr>
        <w:trPr/>
        <w:tc>
          <w:tcPr>
            <w:tcW w:w="3485" w:type="dxa"/>
            <w:tcBorders/>
            <w:vAlign w:val="center"/>
          </w:tcPr>
          <w:p>
            <w:pPr>
              <w:pStyle w:val="TableContents"/>
              <w:bidi w:val="0"/>
              <w:spacing w:before="0" w:after="283"/>
              <w:jc w:val="left"/>
              <w:rPr>
                <w:sz w:val="20"/>
              </w:rPr>
            </w:pPr>
            <w:r>
              <w:rPr>
                <w:sz w:val="20"/>
              </w:rPr>
              <w:t>/s/ KOST FORER GABBAY &amp; KASIERER</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sz w:val="20"/>
              </w:rPr>
            </w:pPr>
            <w:r>
              <w:rPr>
                <w:sz w:val="20"/>
              </w:rPr>
              <w:t>A Member of EY Global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21" w:name="exhibit_107.htm"/>
      <w:bookmarkStart w:id="22" w:name="ksexhibit_107"/>
      <w:bookmarkEnd w:id="21"/>
      <w:bookmarkEnd w:id="2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Lifeward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0"/>
        <w:gridCol w:w="60"/>
        <w:gridCol w:w="800"/>
        <w:gridCol w:w="60"/>
        <w:gridCol w:w="878"/>
        <w:gridCol w:w="60"/>
        <w:gridCol w:w="575"/>
        <w:gridCol w:w="60"/>
        <w:gridCol w:w="1100"/>
        <w:gridCol w:w="60"/>
        <w:gridCol w:w="1025"/>
        <w:gridCol w:w="60"/>
        <w:gridCol w:w="240"/>
        <w:gridCol w:w="756"/>
        <w:gridCol w:w="60"/>
        <w:gridCol w:w="140"/>
        <w:gridCol w:w="1401"/>
        <w:gridCol w:w="60"/>
        <w:gridCol w:w="1040"/>
        <w:gridCol w:w="60"/>
        <w:gridCol w:w="162"/>
        <w:gridCol w:w="1018"/>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87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Ordinary Shares, no par value per ordinary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2,066,662</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6.94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1" w:type="dxa"/>
            <w:tcBorders/>
            <w:vAlign w:val="center"/>
          </w:tcPr>
          <w:p>
            <w:pPr>
              <w:pStyle w:val="TableContents"/>
              <w:bidi w:val="0"/>
              <w:spacing w:before="0" w:after="283"/>
              <w:jc w:val="right"/>
              <w:rPr/>
            </w:pPr>
            <w:r>
              <w:rPr/>
              <w:t>14,342,634.28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1,980.72</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64"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1" w:type="dxa"/>
            <w:tcBorders/>
            <w:vAlign w:val="center"/>
          </w:tcPr>
          <w:p>
            <w:pPr>
              <w:pStyle w:val="TableContents"/>
              <w:bidi w:val="0"/>
              <w:spacing w:before="0" w:after="283"/>
              <w:jc w:val="right"/>
              <w:rPr/>
            </w:pPr>
            <w:r>
              <w:rPr/>
              <w:t>14,342,634.28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1,980.72</w:t>
            </w:r>
          </w:p>
        </w:tc>
      </w:tr>
      <w:tr>
        <w:trPr/>
        <w:tc>
          <w:tcPr>
            <w:tcW w:w="6264"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 </w:t>
            </w:r>
          </w:p>
        </w:tc>
      </w:tr>
      <w:tr>
        <w:trPr/>
        <w:tc>
          <w:tcPr>
            <w:tcW w:w="6264"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64"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8" w:type="dxa"/>
            <w:tcBorders>
              <w:bottom w:val="double" w:sz="8" w:space="0" w:color="000000"/>
            </w:tcBorders>
            <w:tcMar>
              <w:bottom w:w="28" w:type="dxa"/>
            </w:tcMar>
            <w:vAlign w:val="center"/>
          </w:tcPr>
          <w:p>
            <w:pPr>
              <w:pStyle w:val="TableContents"/>
              <w:bidi w:val="0"/>
              <w:spacing w:before="0" w:after="283"/>
              <w:jc w:val="right"/>
              <w:rPr/>
            </w:pPr>
            <w:r>
              <w:rPr/>
              <w:t>1,980.72</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5"/>
        <w:gridCol w:w="23"/>
        <w:gridCol w:w="9947"/>
      </w:tblGrid>
      <w:tr>
        <w:trPr/>
        <w:tc>
          <w:tcPr>
            <w:tcW w:w="23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both"/>
              <w:rPr/>
            </w:pPr>
            <w:r>
              <w:rPr/>
              <w:t>The ordinary shares, no par value per ordinary share (the "Ordinary Shares"), will be offered for resale by the selling shareholders pursuant to the prospectus contained in the registration statement to which this exhibit is attached. The registration statement registers the resale of an aggregate of 2,066,662 of the Registrant's Ordinary Shares, including 1,033,331 Ordinary Shares issuable upon conversion of the Initial Notes and 1,033,331 Ordinary Shares issuable upon exercise of the Initial Warrants, each of which was issued in connection with the Note and Warrant Financing. Pursuant to Rule 416 under the Securities Act of 1933, as amended (the "Securities Act"), this registration statement also covers such indeterminate number of Ordinary Shares as may be issuable upon stock splits, stock dividends, or other distribution, recapitalization or similar events. (2) This estimate is made pursuant to Rule 457(c) of the Securities Act solely for purposes of calculating the registration fee. The price per Ordinary Share and aggregate offering price are based upon the average of the high and low prices of the Registrant’s Ordinary Shares on July 28, 2026, as reported on the Nasdaq Capital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07962/000117891326001208/zk2634619.htm" TargetMode="External"/><Relationship Id="rId4" Type="http://schemas.openxmlformats.org/officeDocument/2006/relationships/hyperlink" Target="https://www.sec.gov/ix?doc=/Archives/edgar/data/1607962/000117891326002862/zk2635356.htm" TargetMode="External"/><Relationship Id="rId5" Type="http://schemas.openxmlformats.org/officeDocument/2006/relationships/hyperlink" Target="https://www.sec.gov/ix?doc=/Archives/edgar/data/1607962/000117891326000081/zk2634190.htm" TargetMode="External"/><Relationship Id="rId6" Type="http://schemas.openxmlformats.org/officeDocument/2006/relationships/hyperlink" Target="https://www.sec.gov/ix?doc=/Archives/edgar/data/1607962/000117891326000132/zk2634192.htm" TargetMode="External"/><Relationship Id="rId7" Type="http://schemas.openxmlformats.org/officeDocument/2006/relationships/hyperlink" Target="https://www.sec.gov/ix?doc=/Archives/edgar/data/1607962/000117891326000244/zk2634263.htm" TargetMode="External"/><Relationship Id="rId8" Type="http://schemas.openxmlformats.org/officeDocument/2006/relationships/hyperlink" Target="https://www.sec.gov/ix?doc=/Archives/edgar/data/1607962/000117891326000345/zk2634310.htm" TargetMode="External"/><Relationship Id="rId9" Type="http://schemas.openxmlformats.org/officeDocument/2006/relationships/hyperlink" Target="https://www.sec.gov/ix?doc=/Archives/edgar/data/1607962/000117891326000578/zk2634413.htm" TargetMode="External"/><Relationship Id="rId10" Type="http://schemas.openxmlformats.org/officeDocument/2006/relationships/hyperlink" Target="https://www.sec.gov/ix?doc=/Archives/edgar/data/1607962/000117891326000642/zk2634444.htm" TargetMode="External"/><Relationship Id="rId11" Type="http://schemas.openxmlformats.org/officeDocument/2006/relationships/hyperlink" Target="https://www.sec.gov/ix?doc=/Archives/edgar/data/1607962/000117891326000654/zk2634459.htm" TargetMode="External"/><Relationship Id="rId12" Type="http://schemas.openxmlformats.org/officeDocument/2006/relationships/hyperlink" Target="https://www.sec.gov/ix?doc=/Archives/edgar/data/1607962/000117891326000673/zk2634479.htm" TargetMode="External"/><Relationship Id="rId13" Type="http://schemas.openxmlformats.org/officeDocument/2006/relationships/hyperlink" Target="https://www.sec.gov/ix?doc=/Archives/edgar/data/1607962/000117891326000823/zk2634526.htm" TargetMode="External"/><Relationship Id="rId14" Type="http://schemas.openxmlformats.org/officeDocument/2006/relationships/hyperlink" Target="https://www.sec.gov/ix?doc=/Archives/edgar/data/1607962/000117891326000875/zk2634572.htm" TargetMode="External"/><Relationship Id="rId15" Type="http://schemas.openxmlformats.org/officeDocument/2006/relationships/hyperlink" Target="https://www.sec.gov/ix?doc=/Archives/edgar/data/1607962/000117891326001574/zk2634867.htm" TargetMode="External"/><Relationship Id="rId16" Type="http://schemas.openxmlformats.org/officeDocument/2006/relationships/hyperlink" Target="https://www.sec.gov/ix?doc=/Archives/edgar/data/1607962/000117891326001724/zk2634956.htm" TargetMode="External"/><Relationship Id="rId17" Type="http://schemas.openxmlformats.org/officeDocument/2006/relationships/hyperlink" Target="https://www.sec.gov/ix?doc=/Archives/edgar/data/1607962/000117891326001944/zk2634999.htm" TargetMode="External"/><Relationship Id="rId18" Type="http://schemas.openxmlformats.org/officeDocument/2006/relationships/hyperlink" Target="https://www.sec.gov/ix?doc=/Archives/edgar/data/1607962/000117891326002212/zk2635129.htm" TargetMode="External"/><Relationship Id="rId19" Type="http://schemas.openxmlformats.org/officeDocument/2006/relationships/hyperlink" Target="https://www.sec.gov/ix?doc=/Archives/edgar/data/1607962/000117891326002797/zk2635366.htm" TargetMode="External"/><Relationship Id="rId20" Type="http://schemas.openxmlformats.org/officeDocument/2006/relationships/hyperlink" Target="https://www.sec.gov/ix?doc=/Archives/edgar/data/1607962/000117891326003429/zk2635657.htm" TargetMode="External"/><Relationship Id="rId21" Type="http://schemas.openxmlformats.org/officeDocument/2006/relationships/hyperlink" Target="https://www.sec.gov/Archives/edgar/data/1607962/000119312514329079/d783270d8a12b.htm" TargetMode="External"/><Relationship Id="rId22" Type="http://schemas.openxmlformats.org/officeDocument/2006/relationships/hyperlink" Target="https://www.sec.gov/Archives/edgar/data/1607962/000117891326001208/exhibit_4-2.htm" TargetMode="External"/><Relationship Id="rId23" Type="http://schemas.openxmlformats.org/officeDocument/2006/relationships/hyperlink" Target="https://www.sec.gov/ix?doc=/Archives/edgar/data/1607962/000117891326001208/zk2634619.htm" TargetMode="External"/><Relationship Id="rId24" Type="http://schemas.openxmlformats.org/officeDocument/2006/relationships/image" Target="media/image1.jpeg"/><Relationship Id="rId25" Type="http://schemas.openxmlformats.org/officeDocument/2006/relationships/hyperlink" Target="https://www.sec.gov/Archives/edgar/data/1607962/000117891326000132/exhibit_2-1.htm" TargetMode="External"/><Relationship Id="rId26" Type="http://schemas.openxmlformats.org/officeDocument/2006/relationships/hyperlink" Target="https://www.sec.gov/Archives/edgar/data/1607962/000117891326000132/exhibit_2-1.htm" TargetMode="External"/><Relationship Id="rId27" Type="http://schemas.openxmlformats.org/officeDocument/2006/relationships/hyperlink" Target="https://www.sec.gov/Archives/edgar/data/1607962/000117891326001724/exhibit_2-1.htm" TargetMode="External"/><Relationship Id="rId28" Type="http://schemas.openxmlformats.org/officeDocument/2006/relationships/hyperlink" Target="https://www.sec.gov/Archives/edgar/data/1607962/000117891326001724/exhibit_2-1.htm" TargetMode="External"/><Relationship Id="rId29" Type="http://schemas.openxmlformats.org/officeDocument/2006/relationships/hyperlink" Target="https://www.sec.gov/Archives/edgar/data/1607962/000117891326001724/exhibit_2-2.htm" TargetMode="External"/><Relationship Id="rId30" Type="http://schemas.openxmlformats.org/officeDocument/2006/relationships/hyperlink" Target="https://www.sec.gov/Archives/edgar/data/1607962/000117891326001724/exhibit_2-2.htm" TargetMode="External"/><Relationship Id="rId31" Type="http://schemas.openxmlformats.org/officeDocument/2006/relationships/hyperlink" Target="https://www.sec.gov/Archives/edgar/data/1607962/000117891326001208/exhibit_3-1.htm" TargetMode="External"/><Relationship Id="rId32" Type="http://schemas.openxmlformats.org/officeDocument/2006/relationships/hyperlink" Target="https://www.sec.gov/Archives/edgar/data/1607962/000117891326001208/exhibit_3-1.htm" TargetMode="External"/><Relationship Id="rId33" Type="http://schemas.openxmlformats.org/officeDocument/2006/relationships/hyperlink" Target="https://www.sec.gov/Archives/edgar/data/1607962/000117891326003429/exhibit_4-4.htm" TargetMode="External"/><Relationship Id="rId34" Type="http://schemas.openxmlformats.org/officeDocument/2006/relationships/hyperlink" Target="https://www.sec.gov/Archives/edgar/data/1607962/000117891326003429/exhibit_4-4.htm" TargetMode="External"/><Relationship Id="rId35" Type="http://schemas.openxmlformats.org/officeDocument/2006/relationships/hyperlink" Target="https://www.sec.gov/Archives/edgar/data/1607962/000117891326003429/exhibit_4-5.htm" TargetMode="External"/><Relationship Id="rId36" Type="http://schemas.openxmlformats.org/officeDocument/2006/relationships/hyperlink" Target="https://www.sec.gov/Archives/edgar/data/1607962/000117891326003429/exhibit_4-5.htm" TargetMode="External"/><Relationship Id="rId37" Type="http://schemas.openxmlformats.org/officeDocument/2006/relationships/hyperlink" Target="https://www.sec.gov/Archives/edgar/data/1607962/000117891326003429/exhibit_10-1.htm" TargetMode="External"/><Relationship Id="rId38" Type="http://schemas.openxmlformats.org/officeDocument/2006/relationships/hyperlink" Target="https://www.sec.gov/Archives/edgar/data/1607962/000117891326003429/exhibit_10-1.htm" TargetMode="External"/><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15430</Words>
  <Characters>81975</Characters>
  <CharactersWithSpaces>97673</CharactersWithSpaces>
  <Paragraphs>1570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