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9401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40181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Lind Global Fund II LP</w:t>
              </w:r>
            </w:hyperlink>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ReWalk Robotics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RWLK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w w:val="96"/>
              </w:rPr>
              <w:t>Director</w:t>
            </w: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640" w:type="dxa"/>
            <w:vAlign w:val="bottom"/>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3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444 MADISON AVENUE</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7"/>
          </w:tcPr>
          <w:p>
            <w:pPr>
              <w:ind w:left="260"/>
              <w:spacing w:after="0"/>
              <w:rPr>
                <w:sz w:val="20"/>
                <w:szCs w:val="20"/>
                <w:color w:val="auto"/>
              </w:rPr>
            </w:pPr>
            <w:r>
              <w:rPr>
                <w:rFonts w:ascii="Times New Roman" w:cs="Times New Roman" w:eastAsia="Times New Roman" w:hAnsi="Times New Roman"/>
                <w:sz w:val="17"/>
                <w:szCs w:val="17"/>
                <w:color w:val="0000FF"/>
              </w:rPr>
              <w:t>06/28/2022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41ST FLOOR</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60" w:type="dxa"/>
            <w:vAlign w:val="bottom"/>
            <w:gridSpan w:val="10"/>
            <w:vMerge w:val="restart"/>
          </w:tcPr>
          <w:p>
            <w:pPr>
              <w:jc w:val="center"/>
              <w:ind w:right="105"/>
              <w:spacing w:after="0"/>
              <w:rPr>
                <w:sz w:val="20"/>
                <w:szCs w:val="20"/>
                <w:color w:val="auto"/>
              </w:rPr>
            </w:pPr>
            <w:r>
              <w:rPr>
                <w:rFonts w:ascii="Arial" w:cs="Arial" w:eastAsia="Arial" w:hAnsi="Arial"/>
                <w:sz w:val="13"/>
                <w:szCs w:val="13"/>
                <w:color w:val="auto"/>
                <w:w w:val="99"/>
              </w:rPr>
              <w:t>4. If Amendment, Date of Original Filed (Month/Day/Year)</w:t>
            </w:r>
          </w:p>
        </w:tc>
        <w:tc>
          <w:tcPr>
            <w:tcW w:w="300" w:type="dxa"/>
            <w:vAlign w:val="bottom"/>
          </w:tcPr>
          <w:p>
            <w:pPr>
              <w:spacing w:after="0"/>
              <w:rPr>
                <w:sz w:val="5"/>
                <w:szCs w:val="5"/>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10"/>
            <w:vMerge w:val="continue"/>
          </w:tcPr>
          <w:p>
            <w:pPr>
              <w:spacing w:after="0"/>
              <w:rPr>
                <w:sz w:val="10"/>
                <w:szCs w:val="10"/>
                <w:color w:val="auto"/>
              </w:rPr>
            </w:pPr>
          </w:p>
        </w:tc>
        <w:tc>
          <w:tcPr>
            <w:tcW w:w="30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3"/>
                <w:szCs w:val="13"/>
                <w:color w:val="auto"/>
                <w:w w:val="89"/>
              </w:rPr>
              <w:t>Line)</w:t>
            </w: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NY</w:t>
            </w: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X</w:t>
            </w: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640" w:type="dxa"/>
            <w:vAlign w:val="bottom"/>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40" w:type="dxa"/>
            <w:vAlign w:val="bottom"/>
            <w:tcBorders>
              <w:top w:val="single" w:sz="8" w:color="2C2C2C"/>
            </w:tcBorders>
            <w:gridSpan w:val="21"/>
          </w:tcPr>
          <w:p>
            <w:pPr>
              <w:ind w:left="2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4"/>
                <w:szCs w:val="14"/>
                <w:color w:val="auto"/>
              </w:rPr>
            </w:pPr>
          </w:p>
        </w:tc>
        <w:tc>
          <w:tcPr>
            <w:tcW w:w="108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200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00" w:type="dxa"/>
            <w:vAlign w:val="bottom"/>
            <w:gridSpan w:val="8"/>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5"/>
          </w:tcPr>
          <w:p>
            <w:pPr>
              <w:jc w:val="center"/>
              <w:ind w:right="3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0.25 per</w:t>
            </w:r>
          </w:p>
        </w:tc>
        <w:tc>
          <w:tcPr>
            <w:tcW w:w="1080" w:type="dxa"/>
            <w:vAlign w:val="bottom"/>
            <w:gridSpan w:val="5"/>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06/28/2022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84"/>
              </w:rPr>
              <w:t>X</w:t>
            </w:r>
          </w:p>
        </w:tc>
        <w:tc>
          <w:tcPr>
            <w:tcW w:w="720" w:type="dxa"/>
            <w:vAlign w:val="bottom"/>
            <w:vMerge w:val="restart"/>
          </w:tcPr>
          <w:p>
            <w:pPr>
              <w:jc w:val="center"/>
              <w:ind w:left="190"/>
              <w:spacing w:after="0"/>
              <w:rPr>
                <w:sz w:val="20"/>
                <w:szCs w:val="20"/>
                <w:color w:val="auto"/>
              </w:rPr>
            </w:pPr>
            <w:r>
              <w:rPr>
                <w:rFonts w:ascii="Times New Roman" w:cs="Times New Roman" w:eastAsia="Times New Roman" w:hAnsi="Times New Roman"/>
                <w:sz w:val="17"/>
                <w:szCs w:val="17"/>
                <w:color w:val="0000FF"/>
                <w:w w:val="98"/>
              </w:rPr>
              <w:t>77,100</w:t>
            </w:r>
          </w:p>
        </w:tc>
        <w:tc>
          <w:tcPr>
            <w:tcW w:w="60" w:type="dxa"/>
            <w:vAlign w:val="bottom"/>
          </w:tcPr>
          <w:p>
            <w:pPr>
              <w:spacing w:after="0"/>
              <w:rPr>
                <w:sz w:val="21"/>
                <w:szCs w:val="21"/>
                <w:color w:val="auto"/>
              </w:rPr>
            </w:pP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3,741,266</w:t>
            </w:r>
          </w:p>
        </w:tc>
        <w:tc>
          <w:tcPr>
            <w:tcW w:w="240" w:type="dxa"/>
            <w:vAlign w:val="bottom"/>
          </w:tcPr>
          <w:p>
            <w:pPr>
              <w:spacing w:after="0"/>
              <w:rPr>
                <w:sz w:val="21"/>
                <w:szCs w:val="2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Borders>
              <w:bottom w:val="single" w:sz="8" w:color="2C2C2C"/>
            </w:tcBorders>
            <w:gridSpan w:val="3"/>
            <w:vMerge w:val="continue"/>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0.25 per</w:t>
            </w:r>
          </w:p>
        </w:tc>
        <w:tc>
          <w:tcPr>
            <w:tcW w:w="1080" w:type="dxa"/>
            <w:vAlign w:val="bottom"/>
            <w:gridSpan w:val="5"/>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06/28/2022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84"/>
              </w:rPr>
              <w:t>X</w:t>
            </w:r>
          </w:p>
        </w:tc>
        <w:tc>
          <w:tcPr>
            <w:tcW w:w="7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w w:val="97"/>
              </w:rPr>
              <w:t>256,900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4,348,922</w:t>
            </w:r>
          </w:p>
        </w:tc>
        <w:tc>
          <w:tcPr>
            <w:tcW w:w="240" w:type="dxa"/>
            <w:vAlign w:val="bottom"/>
          </w:tcPr>
          <w:p>
            <w:pPr>
              <w:spacing w:after="0"/>
              <w:rPr>
                <w:sz w:val="21"/>
                <w:szCs w:val="2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Borders>
              <w:bottom w:val="single" w:sz="8" w:color="2C2C2C"/>
            </w:tcBorders>
            <w:gridSpan w:val="3"/>
            <w:vMerge w:val="continue"/>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0.25 per</w:t>
            </w:r>
          </w:p>
        </w:tc>
        <w:tc>
          <w:tcPr>
            <w:tcW w:w="1080" w:type="dxa"/>
            <w:vAlign w:val="bottom"/>
            <w:gridSpan w:val="5"/>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06/28/2022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190"/>
              <w:spacing w:after="0"/>
              <w:rPr>
                <w:sz w:val="20"/>
                <w:szCs w:val="20"/>
                <w:color w:val="auto"/>
              </w:rPr>
            </w:pPr>
            <w:r>
              <w:rPr>
                <w:rFonts w:ascii="Times New Roman" w:cs="Times New Roman" w:eastAsia="Times New Roman" w:hAnsi="Times New Roman"/>
                <w:sz w:val="17"/>
                <w:szCs w:val="17"/>
                <w:color w:val="0000FF"/>
                <w:w w:val="99"/>
              </w:rPr>
              <w:t>3,158</w:t>
            </w:r>
          </w:p>
        </w:tc>
        <w:tc>
          <w:tcPr>
            <w:tcW w:w="60" w:type="dxa"/>
            <w:vAlign w:val="bottom"/>
          </w:tcPr>
          <w:p>
            <w:pPr>
              <w:spacing w:after="0"/>
              <w:rPr>
                <w:sz w:val="21"/>
                <w:szCs w:val="21"/>
                <w:color w:val="auto"/>
              </w:rPr>
            </w:pP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3,744,424</w:t>
            </w:r>
          </w:p>
        </w:tc>
        <w:tc>
          <w:tcPr>
            <w:tcW w:w="240" w:type="dxa"/>
            <w:vAlign w:val="bottom"/>
          </w:tcPr>
          <w:p>
            <w:pPr>
              <w:spacing w:after="0"/>
              <w:rPr>
                <w:sz w:val="21"/>
                <w:szCs w:val="2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Borders>
              <w:bottom w:val="single" w:sz="8" w:color="2C2C2C"/>
            </w:tcBorders>
            <w:gridSpan w:val="3"/>
            <w:vMerge w:val="continue"/>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0.25 per</w:t>
            </w:r>
          </w:p>
        </w:tc>
        <w:tc>
          <w:tcPr>
            <w:tcW w:w="1080" w:type="dxa"/>
            <w:vAlign w:val="bottom"/>
            <w:gridSpan w:val="5"/>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06/28/2022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190"/>
              <w:spacing w:after="0"/>
              <w:rPr>
                <w:sz w:val="20"/>
                <w:szCs w:val="20"/>
                <w:color w:val="auto"/>
              </w:rPr>
            </w:pPr>
            <w:r>
              <w:rPr>
                <w:rFonts w:ascii="Times New Roman" w:cs="Times New Roman" w:eastAsia="Times New Roman" w:hAnsi="Times New Roman"/>
                <w:sz w:val="17"/>
                <w:szCs w:val="17"/>
                <w:color w:val="0000FF"/>
                <w:w w:val="99"/>
              </w:rPr>
              <w:t>3,157</w:t>
            </w:r>
          </w:p>
        </w:tc>
        <w:tc>
          <w:tcPr>
            <w:tcW w:w="60" w:type="dxa"/>
            <w:vAlign w:val="bottom"/>
          </w:tcPr>
          <w:p>
            <w:pPr>
              <w:spacing w:after="0"/>
              <w:rPr>
                <w:sz w:val="21"/>
                <w:szCs w:val="21"/>
                <w:color w:val="auto"/>
              </w:rPr>
            </w:pP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4,352,079</w:t>
            </w:r>
          </w:p>
        </w:tc>
        <w:tc>
          <w:tcPr>
            <w:tcW w:w="240" w:type="dxa"/>
            <w:vAlign w:val="bottom"/>
          </w:tcPr>
          <w:p>
            <w:pPr>
              <w:spacing w:after="0"/>
              <w:rPr>
                <w:sz w:val="21"/>
                <w:szCs w:val="2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Borders>
              <w:bottom w:val="single" w:sz="8" w:color="2C2C2C"/>
            </w:tcBorders>
            <w:gridSpan w:val="3"/>
            <w:vMerge w:val="continue"/>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0.25 per</w:t>
            </w:r>
          </w:p>
        </w:tc>
        <w:tc>
          <w:tcPr>
            <w:tcW w:w="1080" w:type="dxa"/>
            <w:vAlign w:val="bottom"/>
            <w:gridSpan w:val="5"/>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06/29/2022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190"/>
              <w:spacing w:after="0"/>
              <w:rPr>
                <w:sz w:val="20"/>
                <w:szCs w:val="20"/>
                <w:color w:val="auto"/>
              </w:rPr>
            </w:pPr>
            <w:r>
              <w:rPr>
                <w:rFonts w:ascii="Times New Roman" w:cs="Times New Roman" w:eastAsia="Times New Roman" w:hAnsi="Times New Roman"/>
                <w:sz w:val="17"/>
                <w:szCs w:val="17"/>
                <w:color w:val="0000FF"/>
                <w:w w:val="98"/>
              </w:rPr>
              <w:t>15,000</w:t>
            </w:r>
          </w:p>
        </w:tc>
        <w:tc>
          <w:tcPr>
            <w:tcW w:w="60" w:type="dxa"/>
            <w:vAlign w:val="bottom"/>
          </w:tcPr>
          <w:p>
            <w:pPr>
              <w:spacing w:after="0"/>
              <w:rPr>
                <w:sz w:val="21"/>
                <w:szCs w:val="21"/>
                <w:color w:val="auto"/>
              </w:rPr>
            </w:pP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3,759,424</w:t>
            </w:r>
          </w:p>
        </w:tc>
        <w:tc>
          <w:tcPr>
            <w:tcW w:w="240" w:type="dxa"/>
            <w:vAlign w:val="bottom"/>
          </w:tcPr>
          <w:p>
            <w:pPr>
              <w:spacing w:after="0"/>
              <w:rPr>
                <w:sz w:val="21"/>
                <w:szCs w:val="2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Borders>
              <w:bottom w:val="single" w:sz="8" w:color="2C2C2C"/>
            </w:tcBorders>
            <w:gridSpan w:val="3"/>
            <w:vMerge w:val="continue"/>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0.25 per</w:t>
            </w:r>
          </w:p>
        </w:tc>
        <w:tc>
          <w:tcPr>
            <w:tcW w:w="1080" w:type="dxa"/>
            <w:vAlign w:val="bottom"/>
            <w:gridSpan w:val="5"/>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06/29/2022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ind w:left="190"/>
              <w:spacing w:after="0"/>
              <w:rPr>
                <w:sz w:val="20"/>
                <w:szCs w:val="20"/>
                <w:color w:val="auto"/>
              </w:rPr>
            </w:pPr>
            <w:r>
              <w:rPr>
                <w:rFonts w:ascii="Times New Roman" w:cs="Times New Roman" w:eastAsia="Times New Roman" w:hAnsi="Times New Roman"/>
                <w:sz w:val="17"/>
                <w:szCs w:val="17"/>
                <w:color w:val="0000FF"/>
                <w:w w:val="98"/>
              </w:rPr>
              <w:t>15,000</w:t>
            </w:r>
          </w:p>
        </w:tc>
        <w:tc>
          <w:tcPr>
            <w:tcW w:w="60" w:type="dxa"/>
            <w:vAlign w:val="bottom"/>
          </w:tcPr>
          <w:p>
            <w:pPr>
              <w:spacing w:after="0"/>
              <w:rPr>
                <w:sz w:val="21"/>
                <w:szCs w:val="21"/>
                <w:color w:val="auto"/>
              </w:rPr>
            </w:pP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4,367,079</w:t>
            </w:r>
          </w:p>
        </w:tc>
        <w:tc>
          <w:tcPr>
            <w:tcW w:w="240" w:type="dxa"/>
            <w:vAlign w:val="bottom"/>
          </w:tcPr>
          <w:p>
            <w:pPr>
              <w:spacing w:after="0"/>
              <w:rPr>
                <w:sz w:val="21"/>
                <w:szCs w:val="2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gridSpan w:val="3"/>
            <w:vMerge w:val="continue"/>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40" w:type="dxa"/>
            <w:vAlign w:val="bottom"/>
            <w:gridSpan w:val="21"/>
          </w:tcPr>
          <w:p>
            <w:pPr>
              <w:jc w:val="center"/>
              <w:ind w:left="1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gridSpan w:val="17"/>
          </w:tcPr>
          <w:p>
            <w:pPr>
              <w:jc w:val="center"/>
              <w:ind w:right="14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74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1"/>
              </w:rPr>
              <w:t>Reported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Put Option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77,100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gridSpan w:val="3"/>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(obligation</w:t>
            </w:r>
          </w:p>
        </w:tc>
        <w:tc>
          <w:tcPr>
            <w:tcW w:w="620" w:type="dxa"/>
            <w:vAlign w:val="bottom"/>
            <w:vMerge w:val="restart"/>
          </w:tcPr>
          <w:p>
            <w:pPr>
              <w:ind w:left="260"/>
              <w:spacing w:after="0" w:line="10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2.5</w:t>
            </w:r>
          </w:p>
        </w:tc>
        <w:tc>
          <w:tcPr>
            <w:tcW w:w="120" w:type="dxa"/>
            <w:vAlign w:val="bottom"/>
          </w:tcPr>
          <w:p>
            <w:pPr>
              <w:spacing w:after="0"/>
              <w:rPr>
                <w:sz w:val="4"/>
                <w:szCs w:val="4"/>
                <w:color w:val="auto"/>
              </w:rPr>
            </w:pPr>
          </w:p>
        </w:tc>
        <w:tc>
          <w:tcPr>
            <w:tcW w:w="1100" w:type="dxa"/>
            <w:vAlign w:val="bottom"/>
            <w:gridSpan w:val="2"/>
            <w:vMerge w:val="restart"/>
          </w:tcPr>
          <w:p>
            <w:pPr>
              <w:ind w:left="280"/>
              <w:spacing w:after="0" w:line="103" w:lineRule="exact"/>
              <w:rPr>
                <w:sz w:val="20"/>
                <w:szCs w:val="20"/>
                <w:color w:val="auto"/>
              </w:rPr>
            </w:pPr>
            <w:r>
              <w:rPr>
                <w:rFonts w:ascii="Times New Roman" w:cs="Times New Roman" w:eastAsia="Times New Roman" w:hAnsi="Times New Roman"/>
                <w:sz w:val="11"/>
                <w:szCs w:val="11"/>
                <w:color w:val="0000FF"/>
              </w:rPr>
              <w:t>06/28/2022</w:t>
            </w: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gridSpan w:val="3"/>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X</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vMerge w:val="restart"/>
          </w:tcPr>
          <w:p>
            <w:pPr>
              <w:jc w:val="right"/>
              <w:ind w:right="83"/>
              <w:spacing w:after="0" w:line="103" w:lineRule="exact"/>
              <w:rPr>
                <w:sz w:val="20"/>
                <w:szCs w:val="20"/>
                <w:color w:val="auto"/>
              </w:rPr>
            </w:pPr>
            <w:r>
              <w:rPr>
                <w:rFonts w:ascii="Times New Roman" w:cs="Times New Roman" w:eastAsia="Times New Roman" w:hAnsi="Times New Roman"/>
                <w:sz w:val="11"/>
                <w:szCs w:val="11"/>
                <w:color w:val="0000FF"/>
              </w:rPr>
              <w:t>771</w:t>
            </w:r>
          </w:p>
        </w:tc>
        <w:tc>
          <w:tcPr>
            <w:tcW w:w="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vMerge w:val="restart"/>
          </w:tcPr>
          <w:p>
            <w:pPr>
              <w:ind w:left="20"/>
              <w:spacing w:after="0" w:line="103" w:lineRule="exact"/>
              <w:rPr>
                <w:sz w:val="20"/>
                <w:szCs w:val="20"/>
                <w:color w:val="auto"/>
              </w:rPr>
            </w:pPr>
            <w:r>
              <w:rPr>
                <w:rFonts w:ascii="Times New Roman" w:cs="Times New Roman" w:eastAsia="Times New Roman" w:hAnsi="Times New Roman"/>
                <w:sz w:val="11"/>
                <w:szCs w:val="11"/>
                <w:color w:val="0000FF"/>
              </w:rPr>
              <w:t>07/15/2022</w:t>
            </w:r>
          </w:p>
        </w:tc>
        <w:tc>
          <w:tcPr>
            <w:tcW w:w="620" w:type="dxa"/>
            <w:vAlign w:val="bottom"/>
            <w:gridSpan w:val="2"/>
            <w:vMerge w:val="restart"/>
          </w:tcPr>
          <w:p>
            <w:pPr>
              <w:ind w:left="20"/>
              <w:spacing w:after="0" w:line="103" w:lineRule="exact"/>
              <w:rPr>
                <w:sz w:val="20"/>
                <w:szCs w:val="20"/>
                <w:color w:val="auto"/>
              </w:rPr>
            </w:pPr>
            <w:r>
              <w:rPr>
                <w:rFonts w:ascii="Times New Roman" w:cs="Times New Roman" w:eastAsia="Times New Roman" w:hAnsi="Times New Roman"/>
                <w:sz w:val="11"/>
                <w:szCs w:val="11"/>
                <w:color w:val="0000FF"/>
              </w:rPr>
              <w:t>par value</w:t>
            </w: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vMerge w:val="restart"/>
          </w:tcPr>
          <w:p>
            <w:pPr>
              <w:ind w:left="200"/>
              <w:spacing w:after="0" w:line="10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restart"/>
          </w:tcPr>
          <w:p>
            <w:pPr>
              <w:jc w:val="right"/>
              <w:ind w:right="142"/>
              <w:spacing w:after="0" w:line="103" w:lineRule="exact"/>
              <w:rPr>
                <w:sz w:val="20"/>
                <w:szCs w:val="20"/>
                <w:color w:val="auto"/>
              </w:rPr>
            </w:pPr>
            <w:r>
              <w:rPr>
                <w:rFonts w:ascii="Times New Roman" w:cs="Times New Roman" w:eastAsia="Times New Roman" w:hAnsi="Times New Roman"/>
                <w:sz w:val="11"/>
                <w:szCs w:val="11"/>
                <w:color w:val="0000FF"/>
              </w:rPr>
              <w:t>2,190</w:t>
            </w:r>
          </w:p>
        </w:tc>
        <w:tc>
          <w:tcPr>
            <w:tcW w:w="620" w:type="dxa"/>
            <w:vAlign w:val="bottom"/>
            <w:vMerge w:val="restart"/>
          </w:tcPr>
          <w:p>
            <w:pPr>
              <w:ind w:left="460"/>
              <w:spacing w:after="0" w:line="103"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7"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3"/>
                <w:szCs w:val="13"/>
                <w:color w:val="0000FF"/>
              </w:rPr>
              <w:t>to buy)</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color w:val="0000FF"/>
              </w:rPr>
              <w:t>NIS 0.25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per share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Put Option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w w:val="94"/>
              </w:rPr>
              <w:t>256,900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gridSpan w:val="3"/>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(obligation</w:t>
            </w:r>
          </w:p>
        </w:tc>
        <w:tc>
          <w:tcPr>
            <w:tcW w:w="620" w:type="dxa"/>
            <w:vAlign w:val="bottom"/>
            <w:vMerge w:val="restart"/>
          </w:tcPr>
          <w:p>
            <w:pPr>
              <w:ind w:left="260"/>
              <w:spacing w:after="0" w:line="10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2.5</w:t>
            </w:r>
          </w:p>
        </w:tc>
        <w:tc>
          <w:tcPr>
            <w:tcW w:w="120" w:type="dxa"/>
            <w:vAlign w:val="bottom"/>
          </w:tcPr>
          <w:p>
            <w:pPr>
              <w:spacing w:after="0"/>
              <w:rPr>
                <w:sz w:val="4"/>
                <w:szCs w:val="4"/>
                <w:color w:val="auto"/>
              </w:rPr>
            </w:pPr>
          </w:p>
        </w:tc>
        <w:tc>
          <w:tcPr>
            <w:tcW w:w="1100" w:type="dxa"/>
            <w:vAlign w:val="bottom"/>
            <w:gridSpan w:val="2"/>
            <w:vMerge w:val="restart"/>
          </w:tcPr>
          <w:p>
            <w:pPr>
              <w:ind w:left="280"/>
              <w:spacing w:after="0" w:line="103" w:lineRule="exact"/>
              <w:rPr>
                <w:sz w:val="20"/>
                <w:szCs w:val="20"/>
                <w:color w:val="auto"/>
              </w:rPr>
            </w:pPr>
            <w:r>
              <w:rPr>
                <w:rFonts w:ascii="Times New Roman" w:cs="Times New Roman" w:eastAsia="Times New Roman" w:hAnsi="Times New Roman"/>
                <w:sz w:val="11"/>
                <w:szCs w:val="11"/>
                <w:color w:val="0000FF"/>
              </w:rPr>
              <w:t>06/28/2022</w:t>
            </w: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gridSpan w:val="3"/>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X</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vMerge w:val="restart"/>
          </w:tcPr>
          <w:p>
            <w:pPr>
              <w:jc w:val="right"/>
              <w:ind w:right="23"/>
              <w:spacing w:after="0" w:line="103" w:lineRule="exact"/>
              <w:rPr>
                <w:sz w:val="20"/>
                <w:szCs w:val="20"/>
                <w:color w:val="auto"/>
              </w:rPr>
            </w:pPr>
            <w:r>
              <w:rPr>
                <w:rFonts w:ascii="Times New Roman" w:cs="Times New Roman" w:eastAsia="Times New Roman" w:hAnsi="Times New Roman"/>
                <w:sz w:val="11"/>
                <w:szCs w:val="11"/>
                <w:color w:val="0000FF"/>
              </w:rPr>
              <w:t>2,569</w:t>
            </w:r>
          </w:p>
        </w:tc>
        <w:tc>
          <w:tcPr>
            <w:tcW w:w="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vMerge w:val="restart"/>
          </w:tcPr>
          <w:p>
            <w:pPr>
              <w:ind w:left="20"/>
              <w:spacing w:after="0" w:line="103" w:lineRule="exact"/>
              <w:rPr>
                <w:sz w:val="20"/>
                <w:szCs w:val="20"/>
                <w:color w:val="auto"/>
              </w:rPr>
            </w:pPr>
            <w:r>
              <w:rPr>
                <w:rFonts w:ascii="Times New Roman" w:cs="Times New Roman" w:eastAsia="Times New Roman" w:hAnsi="Times New Roman"/>
                <w:sz w:val="11"/>
                <w:szCs w:val="11"/>
                <w:color w:val="0000FF"/>
              </w:rPr>
              <w:t>07/15/2022</w:t>
            </w:r>
          </w:p>
        </w:tc>
        <w:tc>
          <w:tcPr>
            <w:tcW w:w="620" w:type="dxa"/>
            <w:vAlign w:val="bottom"/>
            <w:gridSpan w:val="2"/>
            <w:vMerge w:val="restart"/>
          </w:tcPr>
          <w:p>
            <w:pPr>
              <w:ind w:left="20"/>
              <w:spacing w:after="0" w:line="103" w:lineRule="exact"/>
              <w:rPr>
                <w:sz w:val="20"/>
                <w:szCs w:val="20"/>
                <w:color w:val="auto"/>
              </w:rPr>
            </w:pPr>
            <w:r>
              <w:rPr>
                <w:rFonts w:ascii="Times New Roman" w:cs="Times New Roman" w:eastAsia="Times New Roman" w:hAnsi="Times New Roman"/>
                <w:sz w:val="11"/>
                <w:szCs w:val="11"/>
                <w:color w:val="0000FF"/>
              </w:rPr>
              <w:t>par value</w:t>
            </w: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vMerge w:val="restart"/>
          </w:tcPr>
          <w:p>
            <w:pPr>
              <w:ind w:left="200"/>
              <w:spacing w:after="0" w:line="10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520" w:type="dxa"/>
            <w:vAlign w:val="bottom"/>
            <w:vMerge w:val="restart"/>
          </w:tcPr>
          <w:p>
            <w:pPr>
              <w:jc w:val="right"/>
              <w:spacing w:after="0" w:line="103" w:lineRule="exact"/>
              <w:rPr>
                <w:sz w:val="20"/>
                <w:szCs w:val="20"/>
                <w:color w:val="auto"/>
              </w:rPr>
            </w:pPr>
            <w:r>
              <w:rPr>
                <w:rFonts w:ascii="Times New Roman" w:cs="Times New Roman" w:eastAsia="Times New Roman" w:hAnsi="Times New Roman"/>
                <w:sz w:val="11"/>
                <w:szCs w:val="11"/>
                <w:color w:val="0000FF"/>
              </w:rPr>
              <w:t>745</w:t>
            </w:r>
          </w:p>
        </w:tc>
        <w:tc>
          <w:tcPr>
            <w:tcW w:w="240" w:type="dxa"/>
            <w:vAlign w:val="bottom"/>
          </w:tcPr>
          <w:p>
            <w:pPr>
              <w:spacing w:after="0"/>
              <w:rPr>
                <w:sz w:val="4"/>
                <w:szCs w:val="4"/>
                <w:color w:val="auto"/>
              </w:rPr>
            </w:pPr>
          </w:p>
        </w:tc>
        <w:tc>
          <w:tcPr>
            <w:tcW w:w="620" w:type="dxa"/>
            <w:vAlign w:val="bottom"/>
            <w:vMerge w:val="restart"/>
          </w:tcPr>
          <w:p>
            <w:pPr>
              <w:ind w:left="460"/>
              <w:spacing w:after="0" w:line="103"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7"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3"/>
                <w:szCs w:val="13"/>
                <w:color w:val="0000FF"/>
              </w:rPr>
              <w:t>to buy)</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color w:val="0000FF"/>
              </w:rPr>
              <w:t>NIS 0.25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per share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5"/>
          </w:tcPr>
          <w:p>
            <w:pPr>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Lind Global Fund II LP</w:t>
              </w:r>
            </w:hyperlink>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444 MADISON AVENUE</w:t>
            </w: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41ST FLOOR</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10022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640" w:type="dxa"/>
            <w:vAlign w:val="bottom"/>
          </w:tcPr>
          <w:p>
            <w:pPr>
              <w:ind w:left="360"/>
              <w:spacing w:after="0"/>
              <w:rPr>
                <w:sz w:val="20"/>
                <w:szCs w:val="20"/>
                <w:color w:val="auto"/>
              </w:rPr>
            </w:pPr>
            <w:r>
              <w:rPr>
                <w:rFonts w:ascii="Arial" w:cs="Arial" w:eastAsia="Arial" w:hAnsi="Arial"/>
                <w:sz w:val="13"/>
                <w:szCs w:val="13"/>
                <w:color w:val="auto"/>
                <w:w w:val="97"/>
              </w:rPr>
              <w:t>(Zip)</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-4396740</wp:posOffset>
            </wp:positionV>
            <wp:extent cx="29210" cy="2724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4150"/>
                    </a:xfrm>
                    <a:prstGeom prst="rect">
                      <a:avLst/>
                    </a:prstGeom>
                    <a:noFill/>
                  </pic:spPr>
                </pic:pic>
              </a:graphicData>
            </a:graphic>
          </wp:anchor>
        </w:drawing>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Lind Global Macro Fund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-135890</wp:posOffset>
            </wp:positionV>
            <wp:extent cx="2806065" cy="1435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6065" cy="1435735"/>
                    </a:xfrm>
                    <a:prstGeom prst="rect">
                      <a:avLst/>
                    </a:prstGeom>
                    <a:noFill/>
                  </pic:spPr>
                </pic:pic>
              </a:graphicData>
            </a:graphic>
          </wp:anchor>
        </w:drawing>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6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444 MADISON AVE, FLOOR 41</w:t>
            </w:r>
          </w:p>
        </w:tc>
        <w:tc>
          <w:tcPr>
            <w:tcW w:w="16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4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10022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Lind Global Fund II LP. Lind Global Partners II LLC, the general partner of Lind Global Fund II LP, and Jeff Easton, the managing member of Lind Global Partners II LLC, may each be deemed to have sole voting and dispositive power with respect to these securities. Each of Lind Global Partners II LLC and Jeff Easton disclaims beneficial ownership of these securities, except to the extent of any pecuniary interest therein.</w:t>
      </w:r>
    </w:p>
    <w:p>
      <w:pPr>
        <w:spacing w:after="0" w:line="26" w:lineRule="exact"/>
        <w:rPr>
          <w:rFonts w:ascii="Times New Roman" w:cs="Times New Roman" w:eastAsia="Times New Roman" w:hAnsi="Times New Roman"/>
          <w:sz w:val="13"/>
          <w:szCs w:val="13"/>
          <w:color w:val="008000"/>
        </w:rPr>
      </w:pPr>
    </w:p>
    <w:p>
      <w:pPr>
        <w:jc w:val="both"/>
        <w:ind w:right="4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Lind Global Macro Fund LP. Lind Global Partners LLC, the general partner of Lind Global Macro Fund LP, and Jeff Easton, the managing member of Lind Global Partners LLC, may each be deemed to have sole voting and dispositive power with respect to these securities. Each of Lind Global Partners LLC and Jeff Easton disclaims beneficial ownership of these securities, except to the extent of any pecuniary interest therein.</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currently exercisable.</w:t>
      </w:r>
    </w:p>
    <w:p>
      <w:pPr>
        <w:sectPr>
          <w:pgSz w:w="11900" w:h="16838" w:orient="portrait"/>
          <w:cols w:equalWidth="0" w:num="1">
            <w:col w:w="10860"/>
          </w:cols>
          <w:pgMar w:left="500" w:top="114" w:right="539" w:bottom="1440" w:gutter="0" w:footer="0" w:header="0"/>
        </w:sectPr>
      </w:pP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Lind Global Fund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187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Lind Global Partners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243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its General Partner, by: /s/ Jeff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29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Easton,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Lind Global Macro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243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by: Lind Global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308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its General Partner, by: /s/ Jeff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29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Easton,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287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20" w:space="140"/>
            <w:col w:w="2100"/>
          </w:cols>
          <w:pgMar w:left="500" w:top="114"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4"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2" Type="http://schemas.openxmlformats.org/officeDocument/2006/relationships/hyperlink" Target="http://www.sec.gov/cgi-bin/browse-edgar?action=getcompany&amp;CIK=0001871665" TargetMode="External"/><Relationship Id="rId13" Type="http://schemas.openxmlformats.org/officeDocument/2006/relationships/hyperlink" Target="http://www.sec.gov/cgi-bin/browse-edgar?action=getcompany&amp;CIK=0001607962" TargetMode="External"/><Relationship Id="rId15" Type="http://schemas.openxmlformats.org/officeDocument/2006/relationships/hyperlink" Target="http://www.sec.gov/cgi-bin/browse-edgar?action=getcompany&amp;CIK=0001773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2022-06-29T19:07:23Z</dcterms:created>
  <dcterms:modified xsi:type="dcterms:W3CDTF">2022-06-29T19:07:23Z</dcterms:modified>
</cp:coreProperties>
</file>