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26, 2014.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333-197344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F-1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ReWalk Robotics Ltd.</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288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State of Israel</w:t>
            </w:r>
          </w:p>
        </w:tc>
        <w:tc>
          <w:tcPr>
            <w:tcW w:w="3940" w:type="dxa"/>
            <w:vAlign w:val="bottom"/>
          </w:tcPr>
          <w:p>
            <w:pPr>
              <w:jc w:val="center"/>
              <w:ind w:right="26"/>
              <w:spacing w:after="0"/>
              <w:rPr>
                <w:sz w:val="20"/>
                <w:szCs w:val="20"/>
                <w:color w:val="auto"/>
              </w:rPr>
            </w:pPr>
            <w:r>
              <w:rPr>
                <w:rFonts w:ascii="Arial" w:cs="Arial" w:eastAsia="Arial" w:hAnsi="Arial"/>
                <w:sz w:val="18"/>
                <w:szCs w:val="18"/>
                <w:b w:val="1"/>
                <w:bCs w:val="1"/>
                <w:color w:val="auto"/>
                <w:w w:val="89"/>
              </w:rPr>
              <w:t>3842</w:t>
            </w:r>
          </w:p>
        </w:tc>
        <w:tc>
          <w:tcPr>
            <w:tcW w:w="2300" w:type="dxa"/>
            <w:vAlign w:val="bottom"/>
          </w:tcPr>
          <w:p>
            <w:pPr>
              <w:jc w:val="center"/>
              <w:ind w:left="1106"/>
              <w:spacing w:after="0"/>
              <w:rPr>
                <w:sz w:val="20"/>
                <w:szCs w:val="20"/>
                <w:color w:val="auto"/>
              </w:rPr>
            </w:pPr>
            <w:r>
              <w:rPr>
                <w:rFonts w:ascii="Arial" w:cs="Arial" w:eastAsia="Arial" w:hAnsi="Arial"/>
                <w:sz w:val="18"/>
                <w:szCs w:val="18"/>
                <w:b w:val="1"/>
                <w:bCs w:val="1"/>
                <w:color w:val="auto"/>
                <w:w w:val="88"/>
              </w:rPr>
              <w:t>Not Applicable</w:t>
            </w:r>
          </w:p>
        </w:tc>
      </w:tr>
      <w:tr>
        <w:trPr>
          <w:trHeight w:val="149"/>
        </w:trPr>
        <w:tc>
          <w:tcPr>
            <w:tcW w:w="2880" w:type="dxa"/>
            <w:vAlign w:val="bottom"/>
          </w:tcPr>
          <w:p>
            <w:pPr>
              <w:jc w:val="center"/>
              <w:ind w:right="98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9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300" w:type="dxa"/>
            <w:vAlign w:val="bottom"/>
          </w:tcPr>
          <w:p>
            <w:pPr>
              <w:jc w:val="center"/>
              <w:ind w:left="108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80" w:type="dxa"/>
            <w:vAlign w:val="bottom"/>
          </w:tcPr>
          <w:p>
            <w:pPr>
              <w:jc w:val="center"/>
              <w:ind w:right="986"/>
              <w:spacing w:after="0"/>
              <w:rPr>
                <w:sz w:val="20"/>
                <w:szCs w:val="20"/>
                <w:color w:val="auto"/>
              </w:rPr>
            </w:pPr>
            <w:r>
              <w:rPr>
                <w:rFonts w:ascii="Arial" w:cs="Arial" w:eastAsia="Arial" w:hAnsi="Arial"/>
                <w:sz w:val="14"/>
                <w:szCs w:val="14"/>
                <w:b w:val="1"/>
                <w:bCs w:val="1"/>
                <w:color w:val="auto"/>
                <w:w w:val="89"/>
              </w:rPr>
              <w:t>Incorporation or Organization)</w:t>
            </w:r>
          </w:p>
        </w:tc>
        <w:tc>
          <w:tcPr>
            <w:tcW w:w="394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Classification Code Number)</w:t>
            </w:r>
          </w:p>
        </w:tc>
        <w:tc>
          <w:tcPr>
            <w:tcW w:w="2300" w:type="dxa"/>
            <w:vAlign w:val="bottom"/>
          </w:tcPr>
          <w:p>
            <w:pPr>
              <w:jc w:val="center"/>
              <w:ind w:left="108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ReWalk Robotics Ltd.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Kochav Yokneam Building, Floor 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161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Yokneam Ilit 20692,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 959-0123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ReWalk Robotics,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 Locke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Marlborough, MA 01752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251-1154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Colin J. Diamond, Esq.</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Aaron M. Lampert, Adv.</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Ayal Shenhav, Adv.</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Phyllis G. Korff, Esq.</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1"/>
              </w:rPr>
              <w:t>Clifford M.J. Felig, Adv.</w:t>
            </w:r>
          </w:p>
        </w:tc>
      </w:t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Gary Kashar, Esq.</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Ephraim Peter Friedman, Adv.</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Shenhav &amp; Co.</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Andrea L. Nicolás, Esq.</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3"/>
              </w:rPr>
              <w:t>Meitar Liquornik Geva</w:t>
            </w:r>
          </w:p>
        </w:tc>
      </w:tr>
      <w:tr>
        <w:trPr>
          <w:trHeight w:val="216"/>
        </w:trPr>
        <w:tc>
          <w:tcPr>
            <w:tcW w:w="184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White &amp; Case LLP</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Goldfarb Seligman &amp; Co.</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Or Towers Building,</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Skadden, Arps, Slate,</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Leshem Tal</w:t>
            </w:r>
          </w:p>
        </w:tc>
      </w:tr>
      <w:tr>
        <w:trPr>
          <w:trHeight w:val="216"/>
        </w:trPr>
        <w:tc>
          <w:tcPr>
            <w:tcW w:w="184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1155 Avenue of the</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98 Yigal Alon Street</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Building B</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94"/>
              </w:rPr>
              <w:t>Meagher &amp; Flom LLP</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1"/>
              </w:rPr>
              <w:t>16 Abba Hillel Silver Rd.</w:t>
            </w:r>
          </w:p>
        </w:tc>
      </w:t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Americas</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Tel Aviv 6789141, Israel</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4 Hanechoshet Street</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Four Times Square</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0"/>
              </w:rPr>
              <w:t>Ramat Gan 52506, Israel</w:t>
            </w:r>
          </w:p>
        </w:tc>
      </w:t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New York, NY 10036</w:t>
            </w:r>
          </w:p>
        </w:tc>
        <w:tc>
          <w:tcPr>
            <w:tcW w:w="264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Tel: +972 (3) 608-9999</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Tel Aviv 69710, Israel</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91"/>
              </w:rPr>
              <w:t>New York, NY 10036</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Tel: +972 (3) 610-3100</w:t>
            </w:r>
          </w:p>
        </w:tc>
      </w:tr>
      <w:tr>
        <w:trPr>
          <w:trHeight w:val="228"/>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Tel: (212) 819-8200</w:t>
            </w:r>
          </w:p>
        </w:tc>
        <w:tc>
          <w:tcPr>
            <w:tcW w:w="2640" w:type="dxa"/>
            <w:vAlign w:val="bottom"/>
          </w:tcPr>
          <w:p>
            <w:pPr>
              <w:spacing w:after="0"/>
              <w:rPr>
                <w:sz w:val="19"/>
                <w:szCs w:val="19"/>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Tel: +972 (3) 611-0760</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Tel: (212) 735-3000</w:t>
            </w:r>
          </w:p>
        </w:tc>
        <w:tc>
          <w:tcPr>
            <w:tcW w:w="21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effectiveness of this registration statement.</w:t>
      </w:r>
    </w:p>
    <w:p>
      <w:pPr>
        <w:spacing w:after="0" w:line="119" w:lineRule="exact"/>
        <w:rPr>
          <w:sz w:val="24"/>
          <w:szCs w:val="24"/>
          <w:color w:val="auto"/>
        </w:rPr>
      </w:pPr>
    </w:p>
    <w:p>
      <w:pPr>
        <w:ind w:right="320"/>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72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ind w:left="440"/>
              <w:spacing w:after="0" w:line="149" w:lineRule="exact"/>
              <w:rPr>
                <w:sz w:val="20"/>
                <w:szCs w:val="20"/>
                <w:color w:val="auto"/>
              </w:rPr>
            </w:pPr>
            <w:r>
              <w:rPr>
                <w:rFonts w:ascii="Arial" w:cs="Arial" w:eastAsia="Arial" w:hAnsi="Arial"/>
                <w:sz w:val="14"/>
                <w:szCs w:val="14"/>
                <w:b w:val="1"/>
                <w:bCs w:val="1"/>
                <w:color w:val="auto"/>
              </w:rPr>
              <w:t>Amount to be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4"/>
              </w:rPr>
              <w:t>Registered(1)</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5"/>
              </w:rPr>
              <w:t>Per Share</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9"/>
              </w:rPr>
              <w:t>Offering Price(2)</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6"/>
              </w:rPr>
              <w:t>Registration Fee(3)</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par value NIS 0.01</w:t>
            </w:r>
          </w:p>
        </w:tc>
        <w:tc>
          <w:tcPr>
            <w:tcW w:w="1600" w:type="dxa"/>
            <w:vAlign w:val="bottom"/>
            <w:tcBorders>
              <w:bottom w:val="single" w:sz="8" w:color="auto"/>
              <w:right w:val="single" w:sz="8" w:color="auto"/>
            </w:tcBorders>
          </w:tcPr>
          <w:p>
            <w:pPr>
              <w:jc w:val="right"/>
              <w:ind w:right="346"/>
              <w:spacing w:after="0"/>
              <w:rPr>
                <w:sz w:val="20"/>
                <w:szCs w:val="20"/>
                <w:color w:val="auto"/>
              </w:rPr>
            </w:pPr>
            <w:r>
              <w:rPr>
                <w:rFonts w:ascii="Arial" w:cs="Arial" w:eastAsia="Arial" w:hAnsi="Arial"/>
                <w:sz w:val="18"/>
                <w:szCs w:val="18"/>
                <w:color w:val="auto"/>
              </w:rPr>
              <w:t>3,852,500</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$16.00</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$61,640,000</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7"/>
              </w:rPr>
              <w:t>$7,940</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granted pursuant to the underwriters’ option to purchase additional shares.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$7,406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p>
    <w:p>
      <w:pPr>
        <w:sectPr>
          <w:pgSz w:w="11900" w:h="16838" w:orient="portrait"/>
          <w:cols w:equalWidth="0" w:num="1">
            <w:col w:w="11420"/>
          </w:cols>
          <w:pgMar w:left="240" w:top="230"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Subject to Completion, dated August 26, 2014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3,350,000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184150</wp:posOffset>
            </wp:positionV>
            <wp:extent cx="2195195" cy="840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519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ReWalk Robotics Ltd.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This is the initial public offering of ReWalk Robotics Ltd. Prior to this offering, there has been no public market for our ordinary shares. We are selling 3,350,000 ordinary shares. The estimated initial public offering price is between $14.00 and $16.00 per share.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We have applied to have our ordinary shares listed on the Nasdaq Global Market under the symbol “RWLK.”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20" w:type="dxa"/>
            <w:vAlign w:val="bottom"/>
            <w:vMerge w:val="restart"/>
          </w:tcPr>
          <w:p>
            <w:pPr>
              <w:spacing w:after="0"/>
              <w:rPr>
                <w:sz w:val="20"/>
                <w:szCs w:val="20"/>
                <w:color w:val="auto"/>
              </w:rPr>
            </w:pPr>
            <w:r>
              <w:rPr>
                <w:rFonts w:ascii="Arial" w:cs="Arial" w:eastAsia="Arial" w:hAnsi="Arial"/>
                <w:sz w:val="22"/>
                <w:szCs w:val="22"/>
                <w:color w:val="auto"/>
              </w:rPr>
              <w:t>Public offering price</w:t>
            </w:r>
          </w:p>
        </w:tc>
        <w:tc>
          <w:tcPr>
            <w:tcW w:w="242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Share</w:t>
            </w:r>
          </w:p>
        </w:tc>
        <w:tc>
          <w:tcPr>
            <w:tcW w:w="860" w:type="dxa"/>
            <w:vAlign w:val="bottom"/>
          </w:tcPr>
          <w:p>
            <w:pPr>
              <w:jc w:val="right"/>
              <w:ind w:right="11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620" w:type="dxa"/>
            <w:vAlign w:val="bottom"/>
            <w:vMerge w:val="continue"/>
          </w:tcPr>
          <w:p>
            <w:pPr>
              <w:spacing w:after="0"/>
              <w:rPr>
                <w:sz w:val="20"/>
                <w:szCs w:val="20"/>
                <w:color w:val="auto"/>
              </w:rPr>
            </w:pPr>
          </w:p>
        </w:tc>
        <w:tc>
          <w:tcPr>
            <w:tcW w:w="2420" w:type="dxa"/>
            <w:vAlign w:val="bottom"/>
          </w:tcPr>
          <w:p>
            <w:pPr>
              <w:spacing w:after="0"/>
              <w:rPr>
                <w:sz w:val="20"/>
                <w:szCs w:val="20"/>
                <w:color w:val="auto"/>
              </w:rPr>
            </w:pPr>
          </w:p>
        </w:tc>
        <w:tc>
          <w:tcPr>
            <w:tcW w:w="860" w:type="dxa"/>
            <w:vAlign w:val="bottom"/>
            <w:tcBorders>
              <w:top w:val="single" w:sz="8" w:color="auto"/>
            </w:tcBorders>
          </w:tcPr>
          <w:p>
            <w:pPr>
              <w:spacing w:after="0" w:line="230" w:lineRule="exact"/>
              <w:rPr>
                <w:sz w:val="20"/>
                <w:szCs w:val="20"/>
                <w:color w:val="auto"/>
              </w:rPr>
            </w:pPr>
            <w:r>
              <w:rPr>
                <w:rFonts w:ascii="Arial" w:cs="Arial" w:eastAsia="Arial" w:hAnsi="Arial"/>
                <w:sz w:val="22"/>
                <w:szCs w:val="22"/>
                <w:color w:val="auto"/>
              </w:rPr>
              <w:t>$</w:t>
            </w:r>
          </w:p>
        </w:tc>
        <w:tc>
          <w:tcPr>
            <w:tcW w:w="540" w:type="dxa"/>
            <w:vAlign w:val="bottom"/>
          </w:tcPr>
          <w:p>
            <w:pPr>
              <w:spacing w:after="0"/>
              <w:rPr>
                <w:sz w:val="20"/>
                <w:szCs w:val="20"/>
                <w:color w:val="auto"/>
              </w:rPr>
            </w:pPr>
          </w:p>
        </w:tc>
        <w:tc>
          <w:tcPr>
            <w:tcW w:w="860" w:type="dxa"/>
            <w:vAlign w:val="bottom"/>
            <w:tcBorders>
              <w:top w:val="single" w:sz="8" w:color="auto"/>
            </w:tcBorders>
          </w:tcPr>
          <w:p>
            <w:pPr>
              <w:jc w:val="right"/>
              <w:ind w:right="637"/>
              <w:spacing w:after="0" w:line="230" w:lineRule="exact"/>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43"/>
        </w:trPr>
        <w:tc>
          <w:tcPr>
            <w:tcW w:w="6620" w:type="dxa"/>
            <w:vAlign w:val="bottom"/>
          </w:tcPr>
          <w:p>
            <w:pPr>
              <w:spacing w:after="0" w:line="243" w:lineRule="exact"/>
              <w:rPr>
                <w:sz w:val="20"/>
                <w:szCs w:val="20"/>
                <w:color w:val="auto"/>
              </w:rPr>
            </w:pPr>
            <w:r>
              <w:rPr>
                <w:rFonts w:ascii="Arial" w:cs="Arial" w:eastAsia="Arial" w:hAnsi="Arial"/>
                <w:sz w:val="22"/>
                <w:szCs w:val="22"/>
                <w:color w:val="auto"/>
              </w:rPr>
              <w:t>Underwriting discounts and commissions(1)</w:t>
            </w:r>
          </w:p>
        </w:tc>
        <w:tc>
          <w:tcPr>
            <w:tcW w:w="3280" w:type="dxa"/>
            <w:vAlign w:val="bottom"/>
            <w:gridSpan w:val="2"/>
          </w:tcPr>
          <w:p>
            <w:pPr>
              <w:ind w:left="2420"/>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spacing w:after="0"/>
              <w:rPr>
                <w:sz w:val="21"/>
                <w:szCs w:val="21"/>
                <w:color w:val="auto"/>
              </w:rPr>
            </w:pPr>
          </w:p>
        </w:tc>
        <w:tc>
          <w:tcPr>
            <w:tcW w:w="860" w:type="dxa"/>
            <w:vAlign w:val="bottom"/>
          </w:tcPr>
          <w:p>
            <w:pPr>
              <w:jc w:val="right"/>
              <w:ind w:right="637"/>
              <w:spacing w:after="0" w:line="243" w:lineRule="exact"/>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60"/>
        </w:trPr>
        <w:tc>
          <w:tcPr>
            <w:tcW w:w="6620" w:type="dxa"/>
            <w:vAlign w:val="bottom"/>
          </w:tcPr>
          <w:p>
            <w:pPr>
              <w:spacing w:after="0"/>
              <w:rPr>
                <w:sz w:val="20"/>
                <w:szCs w:val="20"/>
                <w:color w:val="auto"/>
              </w:rPr>
            </w:pPr>
            <w:r>
              <w:rPr>
                <w:rFonts w:ascii="Arial" w:cs="Arial" w:eastAsia="Arial" w:hAnsi="Arial"/>
                <w:sz w:val="22"/>
                <w:szCs w:val="22"/>
                <w:color w:val="auto"/>
              </w:rPr>
              <w:t>Proceeds to us (before expenses)</w:t>
            </w:r>
          </w:p>
        </w:tc>
        <w:tc>
          <w:tcPr>
            <w:tcW w:w="3280" w:type="dxa"/>
            <w:vAlign w:val="bottom"/>
            <w:gridSpan w:val="2"/>
          </w:tcPr>
          <w:p>
            <w:pPr>
              <w:ind w:left="2420"/>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2"/>
                <w:szCs w:val="22"/>
                <w:color w:val="auto"/>
              </w:rPr>
            </w:pPr>
          </w:p>
        </w:tc>
        <w:tc>
          <w:tcPr>
            <w:tcW w:w="860" w:type="dxa"/>
            <w:vAlign w:val="bottom"/>
          </w:tcPr>
          <w:p>
            <w:pPr>
              <w:jc w:val="right"/>
              <w:ind w:right="637"/>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We have granted the underwriters an option to purchase up to 502,500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186690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80"/>
        <w:spacing w:after="0" w:line="261" w:lineRule="auto"/>
        <w:rPr>
          <w:sz w:val="20"/>
          <w:szCs w:val="20"/>
          <w:color w:val="auto"/>
        </w:rPr>
      </w:pPr>
      <w:r>
        <w:rPr>
          <w:rFonts w:ascii="Arial" w:cs="Arial" w:eastAsia="Arial" w:hAnsi="Arial"/>
          <w:sz w:val="22"/>
          <w:szCs w:val="22"/>
          <w:b w:val="1"/>
          <w:bCs w:val="1"/>
          <w:color w:val="auto"/>
        </w:rPr>
        <w:t>We are an “emerging growth company” as defined under the federal securities laws and, as such, may elect to comply with certain reduced public company reporting requirements for future filings.</w:t>
      </w:r>
    </w:p>
    <w:p>
      <w:pPr>
        <w:spacing w:after="0" w:line="101" w:lineRule="exact"/>
        <w:rPr>
          <w:sz w:val="20"/>
          <w:szCs w:val="20"/>
          <w:color w:val="auto"/>
        </w:rPr>
      </w:pPr>
    </w:p>
    <w:p>
      <w:pPr>
        <w:ind w:right="260"/>
        <w:spacing w:after="0" w:line="283" w:lineRule="auto"/>
        <w:rPr>
          <w:rFonts w:ascii="Arial" w:cs="Arial" w:eastAsia="Arial" w:hAnsi="Arial"/>
          <w:sz w:val="24"/>
          <w:szCs w:val="24"/>
          <w:i w:val="1"/>
          <w:iCs w:val="1"/>
          <w:color w:val="auto"/>
        </w:rPr>
      </w:pPr>
      <w:r>
        <w:rPr>
          <w:rFonts w:ascii="Arial" w:cs="Arial" w:eastAsia="Arial" w:hAnsi="Arial"/>
          <w:sz w:val="24"/>
          <w:szCs w:val="24"/>
          <w:i w:val="1"/>
          <w:iCs w:val="1"/>
          <w:color w:val="auto"/>
        </w:rPr>
        <w:t>Investing in our ordinary shares involves a high degree of risk. See “</w:t>
      </w:r>
      <w:hyperlink w:anchor="page18">
        <w:r>
          <w:rPr>
            <w:rFonts w:ascii="Arial" w:cs="Arial" w:eastAsia="Arial" w:hAnsi="Arial"/>
            <w:sz w:val="24"/>
            <w:szCs w:val="24"/>
            <w:i w:val="1"/>
            <w:iCs w:val="1"/>
            <w:u w:val="single" w:color="auto"/>
            <w:color w:val="0000EE"/>
          </w:rPr>
          <w:t>Risk Factors</w:t>
        </w:r>
      </w:hyperlink>
      <w:r>
        <w:rPr>
          <w:rFonts w:ascii="Arial" w:cs="Arial" w:eastAsia="Arial" w:hAnsi="Arial"/>
          <w:sz w:val="24"/>
          <w:szCs w:val="24"/>
          <w:i w:val="1"/>
          <w:iCs w:val="1"/>
          <w:color w:val="auto"/>
        </w:rPr>
        <w:t>” beginning on page 13 of this Prospectus.</w:t>
      </w:r>
    </w:p>
    <w:p>
      <w:pPr>
        <w:spacing w:after="0" w:line="102" w:lineRule="exact"/>
        <w:rPr>
          <w:sz w:val="20"/>
          <w:szCs w:val="20"/>
          <w:color w:val="auto"/>
        </w:rPr>
      </w:pPr>
    </w:p>
    <w:p>
      <w:pPr>
        <w:jc w:val="both"/>
        <w:ind w:right="80"/>
        <w:spacing w:after="0" w:line="235" w:lineRule="auto"/>
        <w:rPr>
          <w:sz w:val="20"/>
          <w:szCs w:val="20"/>
          <w:color w:val="auto"/>
        </w:rPr>
      </w:pPr>
      <w:r>
        <w:rPr>
          <w:rFonts w:ascii="Arial" w:cs="Arial" w:eastAsia="Arial" w:hAnsi="Arial"/>
          <w:sz w:val="22"/>
          <w:szCs w:val="2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900" w:type="dxa"/>
            <w:vAlign w:val="bottom"/>
            <w:gridSpan w:val="2"/>
          </w:tcPr>
          <w:p>
            <w:pPr>
              <w:spacing w:after="0"/>
              <w:rPr>
                <w:sz w:val="20"/>
                <w:szCs w:val="20"/>
                <w:color w:val="auto"/>
              </w:rPr>
            </w:pPr>
            <w:r>
              <w:rPr>
                <w:rFonts w:ascii="Arial" w:cs="Arial" w:eastAsia="Arial" w:hAnsi="Arial"/>
                <w:sz w:val="22"/>
                <w:szCs w:val="22"/>
                <w:color w:val="auto"/>
              </w:rPr>
              <w:t>The underwriters expect to deliver the ordinary shares on or about</w:t>
            </w:r>
          </w:p>
        </w:tc>
        <w:tc>
          <w:tcPr>
            <w:tcW w:w="4520" w:type="dxa"/>
            <w:vAlign w:val="bottom"/>
          </w:tcPr>
          <w:p>
            <w:pPr>
              <w:jc w:val="right"/>
              <w:ind w:right="3285"/>
              <w:spacing w:after="0"/>
              <w:rPr>
                <w:sz w:val="20"/>
                <w:szCs w:val="20"/>
                <w:color w:val="auto"/>
              </w:rPr>
            </w:pPr>
            <w:r>
              <w:rPr>
                <w:rFonts w:ascii="Arial" w:cs="Arial" w:eastAsia="Arial" w:hAnsi="Arial"/>
                <w:sz w:val="22"/>
                <w:szCs w:val="22"/>
                <w:color w:val="auto"/>
              </w:rPr>
              <w:t>, 2014.</w:t>
            </w:r>
          </w:p>
        </w:tc>
      </w:tr>
      <w:tr>
        <w:trPr>
          <w:trHeight w:val="775"/>
        </w:trPr>
        <w:tc>
          <w:tcPr>
            <w:tcW w:w="6900" w:type="dxa"/>
            <w:vAlign w:val="bottom"/>
            <w:gridSpan w:val="2"/>
          </w:tcPr>
          <w:p>
            <w:pPr>
              <w:spacing w:after="0"/>
              <w:rPr>
                <w:sz w:val="20"/>
                <w:szCs w:val="20"/>
                <w:color w:val="auto"/>
              </w:rPr>
            </w:pPr>
            <w:r>
              <w:rPr>
                <w:rFonts w:ascii="Arial" w:cs="Arial" w:eastAsia="Arial" w:hAnsi="Arial"/>
                <w:sz w:val="32"/>
                <w:szCs w:val="32"/>
                <w:b w:val="1"/>
                <w:bCs w:val="1"/>
                <w:color w:val="auto"/>
              </w:rPr>
              <w:t>Barclays</w:t>
            </w:r>
          </w:p>
        </w:tc>
        <w:tc>
          <w:tcPr>
            <w:tcW w:w="4520" w:type="dxa"/>
            <w:vAlign w:val="bottom"/>
          </w:tcPr>
          <w:p>
            <w:pPr>
              <w:jc w:val="right"/>
              <w:spacing w:after="0"/>
              <w:rPr>
                <w:sz w:val="20"/>
                <w:szCs w:val="20"/>
                <w:color w:val="auto"/>
              </w:rPr>
            </w:pPr>
            <w:r>
              <w:rPr>
                <w:rFonts w:ascii="Arial" w:cs="Arial" w:eastAsia="Arial" w:hAnsi="Arial"/>
                <w:sz w:val="32"/>
                <w:szCs w:val="32"/>
                <w:b w:val="1"/>
                <w:bCs w:val="1"/>
                <w:color w:val="auto"/>
              </w:rPr>
              <w:t>Jefferies</w:t>
            </w:r>
          </w:p>
        </w:tc>
      </w:tr>
      <w:tr>
        <w:trPr>
          <w:trHeight w:val="282"/>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76"/>
        </w:trPr>
        <w:tc>
          <w:tcPr>
            <w:tcW w:w="4520" w:type="dxa"/>
            <w:vAlign w:val="bottom"/>
          </w:tcPr>
          <w:p>
            <w:pPr>
              <w:spacing w:after="0"/>
              <w:rPr>
                <w:sz w:val="24"/>
                <w:szCs w:val="24"/>
                <w:color w:val="auto"/>
              </w:rPr>
            </w:pPr>
          </w:p>
        </w:tc>
        <w:tc>
          <w:tcPr>
            <w:tcW w:w="2380" w:type="dxa"/>
            <w:vAlign w:val="bottom"/>
          </w:tcPr>
          <w:p>
            <w:pPr>
              <w:ind w:left="200"/>
              <w:spacing w:after="0"/>
              <w:rPr>
                <w:sz w:val="20"/>
                <w:szCs w:val="20"/>
                <w:color w:val="auto"/>
              </w:rPr>
            </w:pPr>
            <w:r>
              <w:rPr>
                <w:rFonts w:ascii="Arial" w:cs="Arial" w:eastAsia="Arial" w:hAnsi="Arial"/>
                <w:sz w:val="22"/>
                <w:szCs w:val="22"/>
                <w:b w:val="1"/>
                <w:bCs w:val="1"/>
                <w:color w:val="auto"/>
              </w:rPr>
              <w:t>Canaccord Genuity</w:t>
            </w:r>
          </w:p>
        </w:tc>
        <w:tc>
          <w:tcPr>
            <w:tcW w:w="4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ind w:left="4380"/>
        <w:spacing w:after="0"/>
        <w:tabs>
          <w:tab w:leader="none" w:pos="65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2014</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7203440" cy="9262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92621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00" w:type="dxa"/>
            <w:vAlign w:val="bottom"/>
            <w:gridSpan w:val="4"/>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10300" w:type="dxa"/>
            <w:vAlign w:val="bottom"/>
            <w:gridSpan w:val="21"/>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4"/>
            <w:vMerge w:val="continue"/>
          </w:tcPr>
          <w:p>
            <w:pPr>
              <w:spacing w:after="0"/>
              <w:rPr>
                <w:sz w:val="14"/>
                <w:szCs w:val="14"/>
                <w:color w:val="auto"/>
              </w:rPr>
            </w:pPr>
          </w:p>
        </w:tc>
        <w:tc>
          <w:tcPr>
            <w:tcW w:w="10300" w:type="dxa"/>
            <w:vAlign w:val="bottom"/>
            <w:gridSpan w:val="21"/>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101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Special Note Regarding Forward-Looking Statements</w:t>
              </w:r>
            </w:hyperlink>
          </w:p>
        </w:tc>
        <w:tc>
          <w:tcPr>
            <w:tcW w:w="72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Dividend Policy</w:t>
              </w:r>
            </w:hyperlink>
          </w:p>
        </w:tc>
        <w:tc>
          <w:tcPr>
            <w:tcW w:w="984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Capitalization</w:t>
              </w:r>
            </w:hyperlink>
          </w:p>
        </w:tc>
        <w:tc>
          <w:tcPr>
            <w:tcW w:w="100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Dilution</w:t>
              </w:r>
            </w:hyperlink>
          </w:p>
        </w:tc>
        <w:tc>
          <w:tcPr>
            <w:tcW w:w="104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64">
              <w:r>
                <w:rPr>
                  <w:rFonts w:ascii="Arial" w:cs="Arial" w:eastAsia="Arial" w:hAnsi="Arial"/>
                  <w:sz w:val="18"/>
                  <w:szCs w:val="18"/>
                  <w:color w:val="0000EE"/>
                  <w:w w:val="84"/>
                </w:rPr>
                <w:t>Business</w:t>
              </w:r>
            </w:hyperlink>
          </w:p>
        </w:tc>
        <w:tc>
          <w:tcPr>
            <w:tcW w:w="5660" w:type="dxa"/>
            <w:vAlign w:val="bottom"/>
            <w:tcBorders>
              <w:top w:val="single" w:sz="8" w:color="0000EE"/>
            </w:tcBorders>
            <w:gridSpan w:val="21"/>
          </w:tcPr>
          <w:p>
            <w:pPr>
              <w:spacing w:after="0"/>
              <w:rPr>
                <w:sz w:val="17"/>
                <w:szCs w:val="17"/>
                <w:color w:val="auto"/>
              </w:rPr>
            </w:pPr>
          </w:p>
        </w:tc>
        <w:tc>
          <w:tcPr>
            <w:tcW w:w="47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105">
              <w:r>
                <w:rPr>
                  <w:rFonts w:ascii="Arial" w:cs="Arial" w:eastAsia="Arial" w:hAnsi="Arial"/>
                  <w:sz w:val="18"/>
                  <w:szCs w:val="18"/>
                  <w:color w:val="0000EE"/>
                  <w:w w:val="87"/>
                </w:rPr>
                <w:t>Certain Relationships and Related Party Transactions</w:t>
              </w:r>
            </w:hyperlink>
          </w:p>
        </w:tc>
        <w:tc>
          <w:tcPr>
            <w:tcW w:w="72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Description of Share Capital</w:t>
              </w:r>
            </w:hyperlink>
          </w:p>
        </w:tc>
        <w:tc>
          <w:tcPr>
            <w:tcW w:w="898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Shares Eligible for Future Sale</w:t>
              </w:r>
            </w:hyperlink>
          </w:p>
        </w:tc>
        <w:tc>
          <w:tcPr>
            <w:tcW w:w="88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Taxation and Israeli Government Programs Applicable to Our Company</w:t>
              </w:r>
            </w:hyperlink>
          </w:p>
        </w:tc>
        <w:tc>
          <w:tcPr>
            <w:tcW w:w="592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119">
              <w:r>
                <w:rPr>
                  <w:rFonts w:ascii="Arial" w:cs="Arial" w:eastAsia="Arial" w:hAnsi="Arial"/>
                  <w:sz w:val="18"/>
                  <w:szCs w:val="18"/>
                  <w:color w:val="0000EE"/>
                  <w:w w:val="87"/>
                </w:rPr>
                <w:t>Material U.S. and Israeli Tax Consequences for Our Shareholders</w:t>
              </w:r>
            </w:hyperlink>
          </w:p>
        </w:tc>
        <w:tc>
          <w:tcPr>
            <w:tcW w:w="63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26">
              <w:r>
                <w:rPr>
                  <w:rFonts w:ascii="Arial" w:cs="Arial" w:eastAsia="Arial" w:hAnsi="Arial"/>
                  <w:sz w:val="18"/>
                  <w:szCs w:val="18"/>
                  <w:color w:val="0000EE"/>
                  <w:w w:val="93"/>
                </w:rPr>
                <w:t>Underwriting</w:t>
              </w:r>
            </w:hyperlink>
          </w:p>
        </w:tc>
        <w:tc>
          <w:tcPr>
            <w:tcW w:w="100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Expenses Related to the Offering</w:t>
              </w:r>
            </w:hyperlink>
          </w:p>
        </w:tc>
        <w:tc>
          <w:tcPr>
            <w:tcW w:w="866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Experts</w:t>
              </w:r>
            </w:hyperlink>
          </w:p>
        </w:tc>
        <w:tc>
          <w:tcPr>
            <w:tcW w:w="1002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820" w:type="dxa"/>
            <w:vAlign w:val="bottom"/>
            <w:gridSpan w:val="1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33">
              <w:r>
                <w:rPr>
                  <w:rFonts w:ascii="Arial" w:cs="Arial" w:eastAsia="Arial" w:hAnsi="Arial"/>
                  <w:sz w:val="18"/>
                  <w:szCs w:val="18"/>
                  <w:color w:val="0000EE"/>
                  <w:w w:val="95"/>
                </w:rPr>
                <w:t>Enforceability of Civil Liabilities</w:t>
              </w:r>
            </w:hyperlink>
          </w:p>
        </w:tc>
        <w:tc>
          <w:tcPr>
            <w:tcW w:w="864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Where You Can Find Additional Information</w:t>
              </w:r>
            </w:hyperlink>
          </w:p>
        </w:tc>
        <w:tc>
          <w:tcPr>
            <w:tcW w:w="78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Index to Consolidated Financial Statements</w:t>
              </w:r>
            </w:hyperlink>
          </w:p>
        </w:tc>
        <w:tc>
          <w:tcPr>
            <w:tcW w:w="79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these ordinary shares in any circumstances under which such offer or solicitation is unlawful.</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1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115560"/>
                    </a:xfrm>
                    <a:prstGeom prst="rect">
                      <a:avLst/>
                    </a:prstGeom>
                    <a:noFill/>
                  </pic:spPr>
                </pic:pic>
              </a:graphicData>
            </a:graphic>
          </wp:anchor>
        </w:drawing>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 w:right="200" w:firstLine="456"/>
        <w:spacing w:after="0" w:line="256"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deciding to invest in our ordinary shares. You should read the entire prospectus carefully, including “Risk Factors” and our consolidated financial statements and the related notes, before making an investment decision. In this prospectus, the terms “we,” “us,” “our” and “the Company” refer to ReWalk Robotics Ltd. and its subsidiaries.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 w:firstLine="456"/>
        <w:spacing w:after="0" w:line="306" w:lineRule="auto"/>
        <w:rPr>
          <w:sz w:val="20"/>
          <w:szCs w:val="20"/>
          <w:color w:val="auto"/>
        </w:rPr>
      </w:pPr>
      <w:r>
        <w:rPr>
          <w:rFonts w:ascii="Arial" w:cs="Arial" w:eastAsia="Arial" w:hAnsi="Arial"/>
          <w:sz w:val="16"/>
          <w:szCs w:val="16"/>
          <w:color w:val="auto"/>
        </w:rPr>
        <w:t>We are an innovative medical device company that is designing, developing and commercializing exoskeletons that allow wheelchair-bound individuals with mobility impairments or other medical conditions the ability to stand and walk once again. We have developed and are continuing to commercialize ReWalk, an exoskeleton that uses our patented tilt-sensor technology and an on-board computer and motion sensors to drive motorized legs that power movement.</w:t>
      </w:r>
    </w:p>
    <w:p>
      <w:pPr>
        <w:spacing w:after="0" w:line="26" w:lineRule="exact"/>
        <w:rPr>
          <w:sz w:val="20"/>
          <w:szCs w:val="20"/>
          <w:color w:val="auto"/>
        </w:rPr>
      </w:pPr>
    </w:p>
    <w:p>
      <w:pPr>
        <w:ind w:left="20" w:right="20" w:firstLine="456"/>
        <w:spacing w:after="0" w:line="289" w:lineRule="auto"/>
        <w:rPr>
          <w:sz w:val="20"/>
          <w:szCs w:val="20"/>
          <w:color w:val="auto"/>
        </w:rPr>
      </w:pPr>
      <w:r>
        <w:rPr>
          <w:rFonts w:ascii="Arial" w:cs="Arial" w:eastAsia="Arial" w:hAnsi="Arial"/>
          <w:sz w:val="16"/>
          <w:szCs w:val="16"/>
          <w:color w:val="auto"/>
        </w:rPr>
        <w:t>Current ReWalk designs are intended for people with paraplegia, a spinal cord injury resulting in complete or incomplete paralysis of the legs, who have the use of their upper bodies and arms. We currently offer two products: ReWalk Personal and ReWalk Rehabilitation. ReWalk Personal is designed for everyday use by individuals at home and in their communities, and is custom-fit for each user. ReWalk Rehabilitation is designed for the clinical rehabilitation environment where it provides valuable exercise and therapy. It also enables individuals to evaluate their capacity for using ReWalk Personal in the future. In 2011, we launched ReWalk Rehabilitation for use in hospitals and rehabilitation centers in the United States and Europe. We began marketing ReWalk Personal in Europe with CE mark clearance at the end of 2012 and received FDA clearance to market it in the United States in June 2014. ReWalk is the first exoskeleton cleared by the FDA for personal use. In the future, we will need to obtain approval from the applicable regulatory agency of any additional jurisdiction in which we seek to market ReWalk.</w:t>
      </w:r>
    </w:p>
    <w:p>
      <w:pPr>
        <w:spacing w:after="0" w:line="37" w:lineRule="exact"/>
        <w:rPr>
          <w:sz w:val="20"/>
          <w:szCs w:val="20"/>
          <w:color w:val="auto"/>
        </w:rPr>
      </w:pPr>
    </w:p>
    <w:p>
      <w:pPr>
        <w:ind w:left="20" w:right="20" w:firstLine="456"/>
        <w:spacing w:after="0" w:line="310" w:lineRule="auto"/>
        <w:rPr>
          <w:sz w:val="20"/>
          <w:szCs w:val="20"/>
          <w:color w:val="auto"/>
        </w:rPr>
      </w:pPr>
      <w:r>
        <w:rPr>
          <w:rFonts w:ascii="Arial" w:cs="Arial" w:eastAsia="Arial" w:hAnsi="Arial"/>
          <w:sz w:val="15"/>
          <w:szCs w:val="15"/>
          <w:color w:val="auto"/>
        </w:rPr>
        <w:t>ReWalk is a breakthrough product that can fundamentally change the health and life experiences of users. ReWalk is currently the only commercialized exoskeleton using a tilt sensor to restore self-initiated walking. Designed for all-day use, ReWalk is battery-powered and consists of a light, wearable exoskeleton with integrated motors at the joints, an array of sensors and a computer-based control system to power knee and hip movement. ReWalk controls movement using subtle changes in the user’s center of gravity. A forward tilt of the upper body is sensed by the system, which initiates the first step. Repeated body shifting generates a sequence of steps which allows for natural gait with functional walking speed. Because the exoskeleton supports its own weight, users do not expend unnecessary energy while walking. While ReWalk does not allow side-to-side actuation, users are able to turn by shifting their weight to the side. ReWalk also allows users to sit, stand and, in some cases, climb and descend stairs. ReWalk users are able to independently operate the devices, and most are able to put on and remove the devices by themselves. However, our safety guidelines and FDA specifications require users to be accompanied by a trained companion.</w:t>
      </w:r>
    </w:p>
    <w:p>
      <w:pPr>
        <w:spacing w:after="0" w:line="27" w:lineRule="exact"/>
        <w:rPr>
          <w:sz w:val="20"/>
          <w:szCs w:val="20"/>
          <w:color w:val="auto"/>
        </w:rPr>
      </w:pPr>
    </w:p>
    <w:p>
      <w:pPr>
        <w:ind w:left="20" w:firstLine="456"/>
        <w:spacing w:after="0" w:line="310" w:lineRule="auto"/>
        <w:rPr>
          <w:sz w:val="20"/>
          <w:szCs w:val="20"/>
          <w:color w:val="auto"/>
        </w:rPr>
      </w:pPr>
      <w:r>
        <w:rPr>
          <w:rFonts w:ascii="Arial" w:cs="Arial" w:eastAsia="Arial" w:hAnsi="Arial"/>
          <w:sz w:val="15"/>
          <w:szCs w:val="15"/>
          <w:color w:val="auto"/>
        </w:rPr>
        <w:t>Published clinical studies demonstrate ReWalk’s ability to deliver a natural gait and functional walking speed, which has not been shown in studies for any competing exoskeleton. In addition, our interim analysis of an ongoing clinical study and our experience working with health care practitioners and ReWalk users suggests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 Because of these secondary medical benefits, we believe that ReWalk has the ability to reduce the lifetime healthcare costs of individuals with spinal cord injuries, making it economically attractive for individuals and third-party payors. While we believe that ReWalk offers significant advantages over competing technologies and therapies, disadvantages include the time it takes for a user to put on ReWalk, the slower pace of ReWalk compared to a wheelchair, the weight of ReWalk when carried, which makes it more burdensome for a companion to transport than a wheelchair, and the requirement that users be accompanied by a trained companion.</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9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389880"/>
                    </a:xfrm>
                    <a:prstGeom prst="rect">
                      <a:avLst/>
                    </a:prstGeom>
                    <a:noFill/>
                  </pic:spPr>
                </pic:pic>
              </a:graphicData>
            </a:graphic>
          </wp:anchor>
        </w:drawing>
      </w:r>
    </w:p>
    <w:p>
      <w:pPr>
        <w:spacing w:after="0" w:line="323" w:lineRule="exact"/>
        <w:rPr>
          <w:sz w:val="20"/>
          <w:szCs w:val="20"/>
          <w:color w:val="auto"/>
        </w:rPr>
      </w:pPr>
    </w:p>
    <w:p>
      <w:pPr>
        <w:ind w:left="20" w:right="260" w:firstLine="456"/>
        <w:spacing w:after="0" w:line="298" w:lineRule="auto"/>
        <w:rPr>
          <w:sz w:val="20"/>
          <w:szCs w:val="20"/>
          <w:color w:val="auto"/>
        </w:rPr>
      </w:pPr>
      <w:r>
        <w:rPr>
          <w:rFonts w:ascii="Arial" w:cs="Arial" w:eastAsia="Arial" w:hAnsi="Arial"/>
          <w:sz w:val="16"/>
          <w:szCs w:val="16"/>
          <w:color w:val="auto"/>
        </w:rPr>
        <w:t>We believe that the current design of Rewalk provides a functional technical base that can be easily adapted to address medical indications other than paraplegia that affect the ability to walk. We are currently engaged in research and development efforts to adapt ReWalk to address the mobility needs of quadriplegia and multiple sclerosis patients, and, in the future, we plan to address these needs in stroke and cerebral palsy patients. We are also developing our next generation of ReWalk, with a more efficient drive mechanism, slimmer profile and lighter body, as well as other improvements.</w:t>
      </w:r>
    </w:p>
    <w:p>
      <w:pPr>
        <w:spacing w:after="0" w:line="32" w:lineRule="exact"/>
        <w:rPr>
          <w:sz w:val="20"/>
          <w:szCs w:val="20"/>
          <w:color w:val="auto"/>
        </w:rPr>
      </w:pPr>
    </w:p>
    <w:p>
      <w:pPr>
        <w:ind w:left="20" w:right="40" w:firstLine="456"/>
        <w:spacing w:after="0" w:line="256" w:lineRule="auto"/>
        <w:rPr>
          <w:sz w:val="20"/>
          <w:szCs w:val="20"/>
          <w:color w:val="auto"/>
        </w:rPr>
      </w:pPr>
      <w:r>
        <w:rPr>
          <w:rFonts w:ascii="Arial" w:cs="Arial" w:eastAsia="Arial" w:hAnsi="Arial"/>
          <w:sz w:val="18"/>
          <w:szCs w:val="18"/>
          <w:color w:val="auto"/>
        </w:rPr>
        <w:t>Development of ReWalk took over a decade and was spurred by the experiences of our founder, Dr. Amit Goffer, himself a quadriplegic. As of August 1, 2014, we had placed 62 ReWalk Rehabilitation and 19 ReWalk Personal systems, 88% of which were purchased by our customers and 12% of which were placed with clinics and distributors for training, market development and clinical testing. Through August 1, 2014, we have trained over 400 ReWalk users, representing over 20,000 hours of use.</w:t>
      </w:r>
    </w:p>
    <w:p>
      <w:pPr>
        <w:spacing w:after="0" w:line="62" w:lineRule="exact"/>
        <w:rPr>
          <w:sz w:val="20"/>
          <w:szCs w:val="20"/>
          <w:color w:val="auto"/>
        </w:rPr>
      </w:pPr>
    </w:p>
    <w:p>
      <w:pPr>
        <w:ind w:left="20" w:firstLine="456"/>
        <w:spacing w:after="0" w:line="291" w:lineRule="auto"/>
        <w:rPr>
          <w:sz w:val="20"/>
          <w:szCs w:val="20"/>
          <w:color w:val="auto"/>
        </w:rPr>
      </w:pPr>
      <w:r>
        <w:rPr>
          <w:rFonts w:ascii="Arial" w:cs="Arial" w:eastAsia="Arial" w:hAnsi="Arial"/>
          <w:sz w:val="16"/>
          <w:szCs w:val="16"/>
          <w:color w:val="auto"/>
        </w:rPr>
        <w:t>Our commercialization strategy is to penetrate rehabilitation centers, hospitals and similar facilities that treat patients with spinal cord injuries to become an integral part of their rehabilitation programs and to develop a broad based training network with these facilities to prepare users for home and community use. According to the National Spinal Cord Injury Statistical Center, 87.1% of persons with spinal cord injuries are sent to private, non-institutional residences (in most cases, their homes) after hospital discharge. As a result, while the majority of our sales to date have been ReWalk Rehabilitation units, the primary focus of our commercialization efforts going forward will be marketing ReWalk Personal for routine use at home, work or in the community, and we expect sales of ReWalk Personal to account for the substantial majority of our revenues in the future.</w:t>
      </w:r>
    </w:p>
    <w:p>
      <w:pPr>
        <w:spacing w:after="0" w:line="39" w:lineRule="exact"/>
        <w:rPr>
          <w:sz w:val="20"/>
          <w:szCs w:val="20"/>
          <w:color w:val="auto"/>
        </w:rPr>
      </w:pPr>
    </w:p>
    <w:p>
      <w:pPr>
        <w:ind w:left="20" w:right="20" w:firstLine="456"/>
        <w:spacing w:after="0" w:line="290" w:lineRule="auto"/>
        <w:rPr>
          <w:sz w:val="20"/>
          <w:szCs w:val="20"/>
          <w:color w:val="auto"/>
        </w:rPr>
      </w:pPr>
      <w:r>
        <w:rPr>
          <w:rFonts w:ascii="Arial" w:cs="Arial" w:eastAsia="Arial" w:hAnsi="Arial"/>
          <w:sz w:val="16"/>
          <w:szCs w:val="16"/>
          <w:color w:val="auto"/>
        </w:rPr>
        <w:t>We expect to generate revenues from a combination of self-payors and third-party payors. While no uniform policy of coverage and reimbursement by third-party payors currently exists for electronic exoskeleton technologies such as ReWalk in the United States or elsewhere, we plan to pursue various paths of reimbursement and support fundraising efforts by institutions and clinics. In July 2014, the James J. Peters VA hospital (Bronx, New York) announced that it would be fully committed to supporting the procurement of ReWalk Personal and providing the staffing support needed for all eligible veterans with spinal cord injury for whom ReWalk is clinically indicated. As the first hospital to research the health-related benefits of an exoskeletal walking device for people with spinal cord injury, the Bronx VA experience supports the clinical use of ReWalk and similar FDA-approved technologies. We believe that additional VAs will adopt similar policies in the future.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believe that the following strengths provide us with sustainable competitive advantages to grow our revenue:</w:t>
      </w:r>
    </w:p>
    <w:p>
      <w:pPr>
        <w:spacing w:after="0" w:line="90" w:lineRule="exact"/>
        <w:rPr>
          <w:sz w:val="20"/>
          <w:szCs w:val="20"/>
          <w:color w:val="auto"/>
        </w:rPr>
      </w:pPr>
    </w:p>
    <w:p>
      <w:pPr>
        <w:ind w:left="800" w:hanging="328"/>
        <w:spacing w:after="0" w:line="290"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Technology Enabling a More Natural Walking Experience. </w:t>
      </w:r>
      <w:r>
        <w:rPr>
          <w:rFonts w:ascii="Arial" w:cs="Arial" w:eastAsia="Arial" w:hAnsi="Arial"/>
          <w:sz w:val="16"/>
          <w:szCs w:val="16"/>
          <w:color w:val="auto"/>
        </w:rPr>
        <w:t>Our patented tilt-sensor technology and proprietary software allow self-initiated movement that we believe delivers a more natural walking experience than competing products. Published clinical studies demonstrate ReWalk’s ability to provide a natural gait and functional walking speed, which has not been shown in studies for any competing exoskeleton. In the United States, we have method patent protection covering certain methods of user activation and control of systems such as ReWalk, including by sensing the users’ torso lean or weight shifts. In addition, we have apparatus patent protection in the United States and Europe covering the design of ReWalk and similar devices that use several sensors to empower tilt-sensor technology. Our patents on the tilt-sensor technology do not begin to expire until 2021. We also rely on trade secrets law to protect our proprietary software and product candidates/products in development.</w:t>
      </w:r>
    </w:p>
    <w:p>
      <w:pPr>
        <w:spacing w:after="0" w:line="37" w:lineRule="exact"/>
        <w:rPr>
          <w:rFonts w:ascii="Arial" w:cs="Arial" w:eastAsia="Arial" w:hAnsi="Arial"/>
          <w:sz w:val="16"/>
          <w:szCs w:val="16"/>
          <w:color w:val="auto"/>
        </w:rPr>
      </w:pPr>
    </w:p>
    <w:p>
      <w:pPr>
        <w:ind w:left="800" w:right="40" w:hanging="328"/>
        <w:spacing w:after="0" w:line="255"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Mover Advantage. </w:t>
      </w:r>
      <w:r>
        <w:rPr>
          <w:rFonts w:ascii="Arial" w:cs="Arial" w:eastAsia="Arial" w:hAnsi="Arial"/>
          <w:sz w:val="18"/>
          <w:szCs w:val="18"/>
          <w:color w:val="auto"/>
        </w:rPr>
        <w:t>ReWalk Personal is the first medical exoskeleton cleared by the FDA for personal use in the United States. We do not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our competitors have any products that will be cleared by the FDA for personal use in the United States for at least the next two years. As a result, we believe we will be able to capture significant U.S. market share for exoskeletons for personal use. In addition, we were the first exoskeleton provider to have an established commercial infrastructure and to market products in Europe, with our direct sales force in Germany. We are also the first to achieve reimbursement for a personal unit.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91"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Compelling Clinical Data. </w:t>
      </w:r>
      <w:r>
        <w:rPr>
          <w:rFonts w:ascii="Arial" w:cs="Arial" w:eastAsia="Arial" w:hAnsi="Arial"/>
          <w:sz w:val="16"/>
          <w:szCs w:val="16"/>
          <w:color w:val="auto"/>
        </w:rPr>
        <w:t>We believe that ReWalk’s clinical data differentiates us from our competitors. Clinical data published in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journals has demonstrated ReWalk’s potential as a safe ambulatory device. We are not aware of any comparable clinical data generated in rigorous trials that has been published with respect to competing exoskeleton products. In addition, our interim analysis of an ongoing clinical study demonstrates improvements in secondary physical conditions, such as reduction in pain and spasticity and improvements in bowel and urinary tract function, body and bone composition, metabolism and physical fitness, as well as reduced hospitalizations and dependence on medications. We believe that continued results of this nature will greatly assist our ability to obtain regulatory clearances and third-party reimbursement.</w:t>
      </w:r>
    </w:p>
    <w:p>
      <w:pPr>
        <w:spacing w:after="0" w:line="39" w:lineRule="exact"/>
        <w:rPr>
          <w:rFonts w:ascii="Arial" w:cs="Arial" w:eastAsia="Arial" w:hAnsi="Arial"/>
          <w:sz w:val="16"/>
          <w:szCs w:val="16"/>
          <w:color w:val="auto"/>
        </w:rPr>
      </w:pPr>
    </w:p>
    <w:p>
      <w:pPr>
        <w:ind w:left="780" w:right="60" w:hanging="326"/>
        <w:spacing w:after="0" w:line="290"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Alliance with Yaskawa Electric Corporation. </w:t>
      </w:r>
      <w:r>
        <w:rPr>
          <w:rFonts w:ascii="Arial" w:cs="Arial" w:eastAsia="Arial" w:hAnsi="Arial"/>
          <w:sz w:val="16"/>
          <w:szCs w:val="16"/>
          <w:color w:val="auto"/>
        </w:rPr>
        <w:t>We have entered into a strategic alliance with Yaskawa Electric Corporation, a global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fields of industrial robotics and automation. Pursuant to this arrangement, Yaskawa will serve as our distributor in certain Asian markets, where its name and brand recognition provide us with opportunities for growth and market penetration, and can apply its expertise for product and quality improvements to ReWalk. We believe that this arrangement with such a prominent company is unique in this industry. Yaskawa also made an equity investment in our company. In addition, in the future, subject to any necessary regulatory clearance, we may market and sell in the United States and Europe certain healthcare equipment products that Yaskawa is currently developing. See “Certain Relationships and Related Party Transactions— Series D Preferred Share Purchase Agreement” and “—Agreements with Yaskawa.”</w:t>
      </w:r>
    </w:p>
    <w:p>
      <w:pPr>
        <w:spacing w:after="0" w:line="37" w:lineRule="exact"/>
        <w:rPr>
          <w:rFonts w:ascii="Arial" w:cs="Arial" w:eastAsia="Arial" w:hAnsi="Arial"/>
          <w:sz w:val="16"/>
          <w:szCs w:val="16"/>
          <w:color w:val="auto"/>
        </w:rPr>
      </w:pPr>
    </w:p>
    <w:p>
      <w:pPr>
        <w:ind w:left="780" w:right="4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and Scaleable Manufacturing Capability. </w:t>
      </w:r>
      <w:r>
        <w:rPr>
          <w:rFonts w:ascii="Arial" w:cs="Arial" w:eastAsia="Arial" w:hAnsi="Arial"/>
          <w:sz w:val="18"/>
          <w:szCs w:val="18"/>
          <w:color w:val="auto"/>
        </w:rPr>
        <w:t>We have contracted with Sanmina Corporation, a well-established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with expertise in the medical device industry, for the manufacture of all of our products. Pursuant to this arrangement, Sanmina also sources all of the raw materials needed for the production of our products. We believe that this relationship provides us security with respect to quality, price and quantity of our products and offers significant scale-up capacity.</w:t>
      </w:r>
    </w:p>
    <w:p>
      <w:pPr>
        <w:spacing w:after="0" w:line="56" w:lineRule="exact"/>
        <w:rPr>
          <w:rFonts w:ascii="Arial" w:cs="Arial" w:eastAsia="Arial" w:hAnsi="Arial"/>
          <w:sz w:val="18"/>
          <w:szCs w:val="18"/>
          <w:color w:val="auto"/>
        </w:rPr>
      </w:pPr>
    </w:p>
    <w:p>
      <w:pPr>
        <w:ind w:left="780" w:right="160" w:hanging="326"/>
        <w:spacing w:after="0" w:line="29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Experienced Management Team and Employees with Personal Experience with Paralysis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management team has significant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medical device, technology and robotics industries, with an average of over 20 years of experience. The experiences of Dr. Amit Goffer, our founder, President and Chief Technology Officer, and the inventor of ReWalk, who has been paralyzed since 1997, have been one of the greatest drivers in the development and refinement of ReWalk. Additionally, certain of our sales and marketing and research and development employees are paraplegic, which provides us with invaluable perspective to advance the development of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goal is to drive sustainable growth by fundamentally changing the health and life experiences of individuals with mobility impairments. To achieve this goal, we intend to:</w:t>
      </w:r>
    </w:p>
    <w:p>
      <w:pPr>
        <w:spacing w:after="0" w:line="51" w:lineRule="exact"/>
        <w:rPr>
          <w:sz w:val="20"/>
          <w:szCs w:val="20"/>
          <w:color w:val="auto"/>
        </w:rPr>
      </w:pPr>
    </w:p>
    <w:p>
      <w:pPr>
        <w:ind w:left="780" w:right="180" w:hanging="326"/>
        <w:spacing w:after="0" w:line="298"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Our Salesforce and Infrastructure. </w:t>
      </w:r>
      <w:r>
        <w:rPr>
          <w:rFonts w:ascii="Arial" w:cs="Arial" w:eastAsia="Arial" w:hAnsi="Arial"/>
          <w:sz w:val="16"/>
          <w:szCs w:val="16"/>
          <w:color w:val="auto"/>
        </w:rPr>
        <w:t>We intend to penetrate our target markets and drive sales of ReWalk by increasing our sales force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strengthening our distribution network and service, training and support functions. We believe that our presence in leading rehabilitation centers, hospitals and similar facilities in the United States and Europe has allowed us to establish a strong training infrastructure, and we plan to use this existing infrastructure as a point of entry to efficiently penetrate the market for ReWalk Personal.</w:t>
      </w:r>
    </w:p>
    <w:p>
      <w:pPr>
        <w:spacing w:after="0" w:line="31" w:lineRule="exact"/>
        <w:rPr>
          <w:rFonts w:ascii="Arial" w:cs="Arial" w:eastAsia="Arial" w:hAnsi="Arial"/>
          <w:sz w:val="16"/>
          <w:szCs w:val="16"/>
          <w:color w:val="auto"/>
        </w:rPr>
      </w:pPr>
    </w:p>
    <w:p>
      <w:pPr>
        <w:ind w:left="780" w:right="32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Geographic Coverage. </w:t>
      </w:r>
      <w:r>
        <w:rPr>
          <w:rFonts w:ascii="Arial" w:cs="Arial" w:eastAsia="Arial" w:hAnsi="Arial"/>
          <w:sz w:val="18"/>
          <w:szCs w:val="18"/>
          <w:color w:val="auto"/>
        </w:rPr>
        <w:t>We intend to increase our presence in the United States in response to our receipt of FDA clearance for ReWalk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We also plan to expand into new geographies throughout Europe and, through our arrangements with Yaskawa, in Asia. To date, we have focused our commercialization efforts primarily on the German, French, UK, Italian, Austrian, Canadian and Turkish markets for personal and rehabilitation use and the U.S. market for rehabilitation use.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323" w:lineRule="exact"/>
        <w:rPr>
          <w:sz w:val="20"/>
          <w:szCs w:val="20"/>
          <w:color w:val="auto"/>
        </w:rPr>
      </w:pPr>
    </w:p>
    <w:p>
      <w:pPr>
        <w:ind w:left="800" w:hanging="328"/>
        <w:spacing w:after="0" w:line="294"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Clinical Studies to Further Demonstrate Health and Economic Benefits to Support Reimbursement. </w:t>
      </w:r>
      <w:r>
        <w:rPr>
          <w:rFonts w:ascii="Arial" w:cs="Arial" w:eastAsia="Arial" w:hAnsi="Arial"/>
          <w:sz w:val="16"/>
          <w:szCs w:val="16"/>
          <w:color w:val="auto"/>
        </w:rPr>
        <w:t>We intend to continue to work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hospitals, rehabilitation centers, patient advocacy and support groups and individual users to generate additional data regarding functionality and that supports the health and economic benefits of ReWalk. We will continue to engage and fund researchers and organizations to conduct clinical studies to demonstrate the functionality and utilization of ReWalk and to highlight economic benefits of reductions in medical complications associated with spinal cord injury. We believe that this data will position us to pursue additional third-party reimbursement for our products.</w:t>
      </w:r>
    </w:p>
    <w:p>
      <w:pPr>
        <w:spacing w:after="0" w:line="34" w:lineRule="exact"/>
        <w:rPr>
          <w:rFonts w:ascii="Arial" w:cs="Arial" w:eastAsia="Arial" w:hAnsi="Arial"/>
          <w:sz w:val="16"/>
          <w:szCs w:val="16"/>
          <w:color w:val="auto"/>
        </w:rPr>
      </w:pPr>
    </w:p>
    <w:p>
      <w:pPr>
        <w:ind w:left="800" w:hanging="328"/>
        <w:spacing w:after="0" w:line="294"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Core Technology Platform to Expand Treatment Indications. </w:t>
      </w:r>
      <w:r>
        <w:rPr>
          <w:rFonts w:ascii="Arial" w:cs="Arial" w:eastAsia="Arial" w:hAnsi="Arial"/>
          <w:sz w:val="16"/>
          <w:szCs w:val="16"/>
          <w:color w:val="auto"/>
        </w:rPr>
        <w:t>We designed ReWalk to provide a functional technical base that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easily adapted to address medical indications other than paraplegia, and we believe that we have the internal and external experience to develop and commercialize products to address new indications. In addition to developing the next generation of ReWalk, we are currently engaged in research and development efforts to adapt ReWalk to address the mobility needs of quadriplegia and multiple sclerosis patients, and, in the future, we plan to address these needs in stroke and cerebral palsy patients.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 w:right="100" w:firstLine="456"/>
        <w:spacing w:after="0" w:line="291" w:lineRule="auto"/>
        <w:rPr>
          <w:sz w:val="20"/>
          <w:szCs w:val="20"/>
          <w:color w:val="auto"/>
        </w:rPr>
      </w:pPr>
      <w:r>
        <w:rPr>
          <w:rFonts w:ascii="Arial" w:cs="Arial" w:eastAsia="Arial" w:hAnsi="Arial"/>
          <w:sz w:val="16"/>
          <w:szCs w:val="16"/>
          <w:color w:val="auto"/>
        </w:rPr>
        <w:t>Confinement to a wheelchair can cause severe physical and psychological deterioration, resulting in bad health, poor quality of life, low self-esteem and high medical expenses. In addition, the secondary medical consequences of paralysis can include difficulty with bowel and urinary tract function, osteoporosis, loss of lean mass, gain in fat mass, insulin resistance, diabetes and heart disease. The cost of treating these conditions is substantial. The National Spinal Cord Injury Statistical Center, or the NSCISC, estimates that complications related to paraplegia cost, excluding indirect costs such as losses in wages, fringe benefits and productivity, approximately $500,000 in the first year post-injury and significant additional amounts over the course of an individual’s lifetime. Further, secondary complications related to spinal cord injury can reduce life expectancies for SCI patients.</w:t>
      </w:r>
    </w:p>
    <w:p>
      <w:pPr>
        <w:spacing w:after="0" w:line="39" w:lineRule="exact"/>
        <w:rPr>
          <w:sz w:val="20"/>
          <w:szCs w:val="20"/>
          <w:color w:val="auto"/>
        </w:rPr>
      </w:pPr>
    </w:p>
    <w:p>
      <w:pPr>
        <w:ind w:left="20" w:right="340" w:firstLine="456"/>
        <w:spacing w:after="0" w:line="306" w:lineRule="auto"/>
        <w:rPr>
          <w:sz w:val="20"/>
          <w:szCs w:val="20"/>
          <w:color w:val="auto"/>
        </w:rPr>
      </w:pPr>
      <w:r>
        <w:rPr>
          <w:rFonts w:ascii="Arial" w:cs="Arial" w:eastAsia="Arial" w:hAnsi="Arial"/>
          <w:sz w:val="16"/>
          <w:szCs w:val="16"/>
          <w:color w:val="auto"/>
        </w:rPr>
        <w:t>The NSCISC estimates as of 2013 that there were 273,000 people in the United States living with spinal cord injury, with an annual incidence of approximately 12,000 new cases per year. Approximately 42,000 of such patients are veterans, and are eligible for medical care and other benefits from the Veterans’ Administration, or VA. With 24 VA spinal cord injury centers, the VA has the largest single network of spinal cord injury care in the United States.</w:t>
      </w:r>
    </w:p>
    <w:p>
      <w:pPr>
        <w:spacing w:after="0" w:line="26" w:lineRule="exact"/>
        <w:rPr>
          <w:sz w:val="20"/>
          <w:szCs w:val="20"/>
          <w:color w:val="auto"/>
        </w:rPr>
      </w:pPr>
    </w:p>
    <w:p>
      <w:pPr>
        <w:ind w:left="20" w:right="60" w:firstLine="456"/>
        <w:spacing w:after="0" w:line="255" w:lineRule="auto"/>
        <w:rPr>
          <w:sz w:val="20"/>
          <w:szCs w:val="20"/>
          <w:color w:val="auto"/>
        </w:rPr>
      </w:pPr>
      <w:r>
        <w:rPr>
          <w:rFonts w:ascii="Arial" w:cs="Arial" w:eastAsia="Arial" w:hAnsi="Arial"/>
          <w:sz w:val="18"/>
          <w:szCs w:val="18"/>
          <w:color w:val="auto"/>
        </w:rPr>
        <w:t>The University of Alabama-Birmingham Department of Physical Medicine and Rehabilitation operates the NSCISC, which maintains the world’s largest database on spinal cord injury research. Since 2010, motor vehicle crashes have been the leading cause of reported spinal cord injury cases (36.5%), followed by falls (28.5%), acts of violence (14.3%) and sports injuries (9.2%). Nearly 80% of spinal cord injuries occur among the male population. According to the NSCISC, upon hospital discharge, 87.1% of persons with spinal cord injuries are sent to private, non-institutional residence (in most cases, their homes prior to injury).</w:t>
      </w:r>
    </w:p>
    <w:p>
      <w:pPr>
        <w:spacing w:after="0" w:line="62" w:lineRule="exact"/>
        <w:rPr>
          <w:sz w:val="20"/>
          <w:szCs w:val="20"/>
          <w:color w:val="auto"/>
        </w:rPr>
      </w:pPr>
    </w:p>
    <w:p>
      <w:pPr>
        <w:ind w:left="20" w:firstLine="456"/>
        <w:spacing w:after="0" w:line="256" w:lineRule="auto"/>
        <w:rPr>
          <w:sz w:val="20"/>
          <w:szCs w:val="20"/>
          <w:color w:val="auto"/>
        </w:rPr>
      </w:pPr>
      <w:r>
        <w:rPr>
          <w:rFonts w:ascii="Arial" w:cs="Arial" w:eastAsia="Arial" w:hAnsi="Arial"/>
          <w:sz w:val="18"/>
          <w:szCs w:val="18"/>
          <w:color w:val="auto"/>
        </w:rPr>
        <w:t>Based on U.S. Census Bureau data, the spinal cord injury population gender and age statistics and data from the Spinal Cord Model Systems report, we estimate almost 80% or 218,000, of spinal cord injury patients in the United States could be candidates for current or future ReWalk products. The young average age of injury and significant remaining life expectancy, the likelihood of living at home and lifetime cost of treatment highlight the need for an out-of-hospital solution with demonstrated health and social benefits.</w:t>
      </w:r>
    </w:p>
    <w:p>
      <w:pPr>
        <w:spacing w:after="0" w:line="62" w:lineRule="exact"/>
        <w:rPr>
          <w:sz w:val="20"/>
          <w:szCs w:val="20"/>
          <w:color w:val="auto"/>
        </w:rPr>
      </w:pPr>
    </w:p>
    <w:p>
      <w:pPr>
        <w:ind w:left="20" w:right="320" w:firstLine="456"/>
        <w:spacing w:after="0" w:line="268" w:lineRule="auto"/>
        <w:rPr>
          <w:sz w:val="20"/>
          <w:szCs w:val="20"/>
          <w:color w:val="auto"/>
        </w:rPr>
      </w:pPr>
      <w:r>
        <w:rPr>
          <w:rFonts w:ascii="Arial" w:cs="Arial" w:eastAsia="Arial" w:hAnsi="Arial"/>
          <w:sz w:val="18"/>
          <w:szCs w:val="18"/>
          <w:color w:val="auto"/>
        </w:rPr>
        <w:t>In addition to developing the next generation of ReWalk, we are currently engaged in research and development efforts to adapt ReWalk to address the mobility needs of quadriplegia and multiple sclerosis patients.</w:t>
      </w:r>
    </w:p>
    <w:p>
      <w:pPr>
        <w:spacing w:after="0" w:line="51" w:lineRule="exact"/>
        <w:rPr>
          <w:sz w:val="20"/>
          <w:szCs w:val="20"/>
          <w:color w:val="auto"/>
        </w:rPr>
      </w:pPr>
    </w:p>
    <w:p>
      <w:pPr>
        <w:ind w:left="20" w:right="20" w:firstLine="456"/>
        <w:spacing w:after="0" w:line="268" w:lineRule="auto"/>
        <w:rPr>
          <w:sz w:val="20"/>
          <w:szCs w:val="20"/>
          <w:color w:val="auto"/>
        </w:rPr>
      </w:pPr>
      <w:r>
        <w:rPr>
          <w:rFonts w:ascii="Arial" w:cs="Arial" w:eastAsia="Arial" w:hAnsi="Arial"/>
          <w:sz w:val="18"/>
          <w:szCs w:val="18"/>
          <w:color w:val="auto"/>
        </w:rPr>
        <w:t>According to the National Multiple Sclerosis Society, as many as 400,000 Americans suffer from multiple sclerosis. Research indicates that approximately 53% of these individuals, or approximately 212,000, would be</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6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3863340"/>
                    </a:xfrm>
                    <a:prstGeom prst="rect">
                      <a:avLst/>
                    </a:prstGeom>
                    <a:noFill/>
                  </pic:spPr>
                </pic:pic>
              </a:graphicData>
            </a:graphic>
          </wp:anchor>
        </w:drawing>
      </w:r>
    </w:p>
    <w:p>
      <w:pPr>
        <w:spacing w:after="0" w:line="323" w:lineRule="exact"/>
        <w:rPr>
          <w:sz w:val="20"/>
          <w:szCs w:val="20"/>
          <w:color w:val="auto"/>
        </w:rPr>
      </w:pPr>
    </w:p>
    <w:p>
      <w:pPr>
        <w:ind w:left="20" w:right="60"/>
        <w:spacing w:after="0" w:line="256" w:lineRule="auto"/>
        <w:rPr>
          <w:sz w:val="20"/>
          <w:szCs w:val="20"/>
          <w:color w:val="auto"/>
        </w:rPr>
      </w:pPr>
      <w:r>
        <w:rPr>
          <w:rFonts w:ascii="Arial" w:cs="Arial" w:eastAsia="Arial" w:hAnsi="Arial"/>
          <w:sz w:val="18"/>
          <w:szCs w:val="18"/>
          <w:color w:val="auto"/>
        </w:rPr>
        <w:t>classified as either a 6.0 or 7.0 on the Kurtzke Disability Status Scale (DSS), a measure of the need for walking assistance. Individuals with DSS 6.0 require intermittent or unilateral constant assistance (by means of cane, crutch, or brace) to walk approximately 100 meters without resting. Individuals with DSS 7.0 are unable to walk beyond 10 meters without rest while leaning against a wall or holding furniture for support. We believe these individuals could benefit from our technology.</w:t>
      </w:r>
    </w:p>
    <w:p>
      <w:pPr>
        <w:spacing w:after="0" w:line="62" w:lineRule="exact"/>
        <w:rPr>
          <w:sz w:val="20"/>
          <w:szCs w:val="20"/>
          <w:color w:val="auto"/>
        </w:rPr>
      </w:pPr>
    </w:p>
    <w:p>
      <w:pPr>
        <w:ind w:left="20" w:firstLine="456"/>
        <w:spacing w:after="0" w:line="294" w:lineRule="auto"/>
        <w:rPr>
          <w:sz w:val="20"/>
          <w:szCs w:val="20"/>
          <w:color w:val="auto"/>
        </w:rPr>
      </w:pPr>
      <w:r>
        <w:rPr>
          <w:rFonts w:ascii="Arial" w:cs="Arial" w:eastAsia="Arial" w:hAnsi="Arial"/>
          <w:sz w:val="16"/>
          <w:szCs w:val="16"/>
          <w:color w:val="auto"/>
        </w:rPr>
        <w:t>In the future, we plan to address the mobility needs of stroke and cerebral palsy patients. Over five million Americans have suffered a stroke, with 780,000 new incidences expected each year. Physical limitations after stroke vary from case to case, but approximately 20-25% of these individuals are unable to walk without full physical assistance. Cerebral palsy is a disorder of movement, muscle tone or posture that is caused by damage to the developing brain, most often before or during a child’s birth, or during the first 3 to 5 years of a child’s life. According to United Cerebral Palsy, there are 764,000 cases of cerebral palsy in the United States. Cerebral palsy represents a significant opportunity to address the segment of this market that will meet the physical criteria to use ReWalk.</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Solutions</w:t>
      </w:r>
    </w:p>
    <w:p>
      <w:pPr>
        <w:spacing w:after="0" w:line="96" w:lineRule="exact"/>
        <w:rPr>
          <w:sz w:val="20"/>
          <w:szCs w:val="20"/>
          <w:color w:val="auto"/>
        </w:rPr>
      </w:pPr>
    </w:p>
    <w:p>
      <w:pPr>
        <w:ind w:left="20" w:right="20" w:firstLine="456"/>
        <w:spacing w:after="0" w:line="291" w:lineRule="auto"/>
        <w:rPr>
          <w:sz w:val="20"/>
          <w:szCs w:val="20"/>
          <w:color w:val="auto"/>
        </w:rPr>
      </w:pPr>
      <w:r>
        <w:rPr>
          <w:rFonts w:ascii="Arial" w:cs="Arial" w:eastAsia="Arial" w:hAnsi="Arial"/>
          <w:sz w:val="16"/>
          <w:szCs w:val="16"/>
          <w:color w:val="auto"/>
        </w:rPr>
        <w:t>ReWalk is a breakthrough product that can fundamentally change the health and life experiences of users. Published clinical studies demonstrate ReWalk’s ability to deliver a natural gait and functional walking speed. ReWalk’s patented tilt-sensor technology and an on-board computer and motion sensors drive motorized legs that power knee and hip movement and allow self-initiated walking. ReWalk controls movement using subtle changes in the user’s center of gravity. A forward tilt of the upper body is sensed by the system, which initiates the first step. Repeated body shifting generates a sequence of steps, which allows natural ambulation with functional walking speed. While ReWalk does not allow side-to-side actuation, users are able to turn by shifting their weight to the side. ReWalk also allows users to sit, stand, and, in some cases, climb and descend stairs.</w:t>
      </w:r>
    </w:p>
    <w:p>
      <w:pPr>
        <w:spacing w:after="0" w:line="39" w:lineRule="exact"/>
        <w:rPr>
          <w:sz w:val="20"/>
          <w:szCs w:val="20"/>
          <w:color w:val="auto"/>
        </w:rPr>
      </w:pPr>
    </w:p>
    <w:p>
      <w:pPr>
        <w:ind w:left="20" w:right="40" w:firstLine="456"/>
        <w:spacing w:after="0" w:line="288" w:lineRule="auto"/>
        <w:rPr>
          <w:sz w:val="20"/>
          <w:szCs w:val="20"/>
          <w:color w:val="auto"/>
        </w:rPr>
      </w:pPr>
      <w:r>
        <w:rPr>
          <w:rFonts w:ascii="Arial" w:cs="Arial" w:eastAsia="Arial" w:hAnsi="Arial"/>
          <w:sz w:val="16"/>
          <w:szCs w:val="16"/>
          <w:color w:val="auto"/>
        </w:rPr>
        <w:t>Designed for all-day use and worn over the clothes of users, ReWalk consists of a light wearable exoskeleton with integrated motors at the joints, an array of sensors and a backpack that contains the batteries and the computer-based control system. The control system utilizes proprietary algorithms to analyze upper-body motions and trigger and maintain gait patterns and other modes of operation (such as stair-climbing and shifting from sitting to standing), leaving the user’s hands free for self-support and other functions. Because the exoskeleton supports its own weight, users do not expend unnecessary energy while walking. Safety measures include crutches, which provide additional stability, fall protection, which lowers users slowly and safely in the event of a malfunction, and the secure “stand” mode, which automatically initiates if the user does not begin walking within two seconds. ReWalk is also equipped with maintenance alarms, warnings and backup batteries. The rechargeable batteries are easily accessible from the system’s backpack and can be recharged in any standard power outlet. Upon completion of training, which generally consists of approximately 15 one-hour sessions, most users are able to put on and remove the device by themselves while sitting, typically in less than 15 minutes.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195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19569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366" w:lineRule="exact"/>
        <w:rPr>
          <w:sz w:val="20"/>
          <w:szCs w:val="20"/>
          <w:color w:val="auto"/>
        </w:rPr>
      </w:pPr>
    </w:p>
    <w:p>
      <w:pPr>
        <w:ind w:left="20" w:right="940" w:firstLine="432"/>
        <w:spacing w:after="0" w:line="332" w:lineRule="auto"/>
        <w:rPr>
          <w:sz w:val="20"/>
          <w:szCs w:val="20"/>
          <w:color w:val="auto"/>
        </w:rPr>
      </w:pPr>
      <w:r>
        <w:rPr>
          <w:rFonts w:ascii="Arial" w:cs="Arial" w:eastAsia="Arial" w:hAnsi="Arial"/>
          <w:sz w:val="16"/>
          <w:szCs w:val="16"/>
          <w:color w:val="auto"/>
        </w:rPr>
        <w:t>Current ReWalk designs are intended for people with paraplegia who have the use of their upper bodies and arms. We currently offer two ReWalk products: ReWalk Personal and ReWalk Rehabilitation.</w:t>
      </w:r>
    </w:p>
    <w:p>
      <w:pPr>
        <w:spacing w:after="0" w:line="4" w:lineRule="exact"/>
        <w:rPr>
          <w:sz w:val="20"/>
          <w:szCs w:val="20"/>
          <w:color w:val="auto"/>
        </w:rPr>
      </w:pPr>
    </w:p>
    <w:p>
      <w:pPr>
        <w:ind w:left="800" w:right="920" w:hanging="342"/>
        <w:spacing w:after="0" w:line="291" w:lineRule="auto"/>
        <w:tabs>
          <w:tab w:leader="none" w:pos="691"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ReWalk Personal</w:t>
      </w:r>
      <w:r>
        <w:rPr>
          <w:rFonts w:ascii="Arial" w:cs="Arial" w:eastAsia="Arial" w:hAnsi="Arial"/>
          <w:sz w:val="16"/>
          <w:szCs w:val="16"/>
          <w:color w:val="auto"/>
        </w:rPr>
        <w:t>: intended for everyday use at home, at work or in the community. We began</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ReWalk Personal in Europe with CE mark clearance at the end of 2012. We received clearance to market ReWalk Personal in the United States in June 2014. ReWalk Personal units are all manufactured according to the same specifications. Each unit is then permanently sized to fit the individual user and the software is configured for the user’s specifications by the rehabilitation center, clinic or distributor.</w:t>
      </w:r>
    </w:p>
    <w:p>
      <w:pPr>
        <w:spacing w:after="0" w:line="39" w:lineRule="exact"/>
        <w:rPr>
          <w:rFonts w:ascii="Arial" w:cs="Arial" w:eastAsia="Arial" w:hAnsi="Arial"/>
          <w:sz w:val="16"/>
          <w:szCs w:val="16"/>
          <w:color w:val="auto"/>
        </w:rPr>
      </w:pPr>
    </w:p>
    <w:p>
      <w:pPr>
        <w:ind w:left="800" w:right="1000" w:hanging="342"/>
        <w:spacing w:after="0" w:line="290" w:lineRule="auto"/>
        <w:tabs>
          <w:tab w:leader="none" w:pos="691"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ReWalk Rehabilitation</w:t>
      </w:r>
      <w:r>
        <w:rPr>
          <w:rFonts w:ascii="Arial" w:cs="Arial" w:eastAsia="Arial" w:hAnsi="Arial"/>
          <w:sz w:val="16"/>
          <w:szCs w:val="16"/>
          <w:color w:val="auto"/>
        </w:rPr>
        <w:t>: designed for the clinical rehabilitation environment, ReWalk Rehabilitation</w:t>
      </w:r>
      <w:r>
        <w:rPr>
          <w:rFonts w:ascii="Arial" w:cs="Arial" w:eastAsia="Arial" w:hAnsi="Arial"/>
          <w:sz w:val="16"/>
          <w:szCs w:val="16"/>
          <w:i w:val="1"/>
          <w:iCs w:val="1"/>
          <w:color w:val="auto"/>
        </w:rPr>
        <w:t xml:space="preserve"> </w:t>
      </w:r>
      <w:r>
        <w:rPr>
          <w:rFonts w:ascii="Arial" w:cs="Arial" w:eastAsia="Arial" w:hAnsi="Arial"/>
          <w:sz w:val="16"/>
          <w:szCs w:val="16"/>
          <w:color w:val="auto"/>
        </w:rPr>
        <w:t>has adjustable sizing enabling multiple patient use. ReWalk Rehabilitation provides a valuable means of exercise and therapy. It also enables individuals to evaluate their capacity for using ReWalk Personal in the future. We began marketing ReWalk Rehabilitation for use in hospitals, rehabilitation centers and stand-alone training centers in the United States and Europe in 2011. ReWalk Rehabilitation units are all manufactured according to the same specifications and are equipped with adjustable sizing for multi-patient use.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ReWalk</w:t>
      </w:r>
    </w:p>
    <w:p>
      <w:pPr>
        <w:spacing w:after="0" w:line="2"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Rehabilitation</w:t>
      </w:r>
    </w:p>
    <w:p>
      <w:pPr>
        <w:spacing w:after="0" w:line="3350" w:lineRule="exact"/>
        <w:rPr>
          <w:sz w:val="20"/>
          <w:szCs w:val="20"/>
          <w:color w:val="auto"/>
        </w:rPr>
      </w:pPr>
    </w:p>
    <w:p>
      <w:pPr>
        <w:sectPr>
          <w:pgSz w:w="11900" w:h="16838" w:orient="portrait"/>
          <w:cols w:equalWidth="0" w:num="2">
            <w:col w:w="8660" w:space="720"/>
            <w:col w:w="206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right="40" w:firstLine="456"/>
        <w:spacing w:after="0" w:line="294" w:lineRule="auto"/>
        <w:rPr>
          <w:sz w:val="20"/>
          <w:szCs w:val="20"/>
          <w:color w:val="auto"/>
        </w:rPr>
      </w:pPr>
      <w:r>
        <w:rPr>
          <w:rFonts w:ascii="Arial" w:cs="Arial" w:eastAsia="Arial" w:hAnsi="Arial"/>
          <w:sz w:val="16"/>
          <w:szCs w:val="16"/>
          <w:color w:val="auto"/>
        </w:rPr>
        <w:t>Our interim analysis of an ongoing clinical study and our experience working with health care practitioners and ReWalk users suggest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 Because of these secondary medical benefits, we believe that ReWalk has the ability to reduce the lifetime healthcare costs of individuals with spinal cord injuries, making it economically attractive for individuals, healthcare providers such as hospitals and rehabilitation centers, and third-party payors.</w:t>
      </w:r>
    </w:p>
    <w:p>
      <w:pPr>
        <w:spacing w:after="0" w:line="87"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5"/>
          <w:szCs w:val="25"/>
          <w:b w:val="1"/>
          <w:bCs w:val="1"/>
          <w:color w:val="auto"/>
          <w:vertAlign w:val="superscript"/>
        </w:rPr>
        <w:t>ReWalk–Q</w:t>
      </w:r>
      <w:r>
        <w:rPr>
          <w:sz w:val="20"/>
          <w:szCs w:val="20"/>
          <w:color w:val="auto"/>
        </w:rPr>
        <w:tab/>
      </w:r>
      <w:r>
        <w:rPr>
          <w:rFonts w:ascii="Arial" w:cs="Arial" w:eastAsia="Arial" w:hAnsi="Arial"/>
          <w:sz w:val="16"/>
          <w:szCs w:val="16"/>
          <w:color w:val="auto"/>
        </w:rPr>
        <w:t>We are currently developing our next generation of ReWalk, with a more efficient drive mechanism, slimmer profile and lighter body,</w:t>
      </w:r>
    </w:p>
    <w:p>
      <w:pPr>
        <w:spacing w:after="0" w:line="12" w:lineRule="exact"/>
        <w:rPr>
          <w:sz w:val="20"/>
          <w:szCs w:val="20"/>
          <w:color w:val="auto"/>
        </w:rPr>
      </w:pPr>
    </w:p>
    <w:p>
      <w:pPr>
        <w:ind w:left="1520" w:right="100"/>
        <w:spacing w:after="0" w:line="317" w:lineRule="auto"/>
        <w:rPr>
          <w:sz w:val="20"/>
          <w:szCs w:val="20"/>
          <w:color w:val="auto"/>
        </w:rPr>
      </w:pPr>
      <w:r>
        <w:rPr>
          <w:rFonts w:ascii="Arial" w:cs="Arial" w:eastAsia="Arial" w:hAnsi="Arial"/>
          <w:sz w:val="15"/>
          <w:szCs w:val="15"/>
          <w:color w:val="auto"/>
        </w:rPr>
        <w:t>as well as other improvements. We are also developing ReWalk–Q for individuals with quadriplegia who are unable to hold crutches, which will include attached crutches with wheels. We expect to complete the development of ReWalk–Q in the near future, at which time we will begin clinical testing and apply for regulatory clearances. We plan to expand the designs and indications that we address beyond paraplegia and quadriplegia to include other disabilities affecting gait and ability to walk, such as multiple sclerosis, stroke and cerebral palsy.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 w:firstLine="456"/>
        <w:spacing w:after="0" w:line="256"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before making a decision to invest in our ordinary shares. If any of these risks actually occurs,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62" w:lineRule="exact"/>
        <w:rPr>
          <w:sz w:val="20"/>
          <w:szCs w:val="20"/>
          <w:color w:val="auto"/>
        </w:rPr>
      </w:pPr>
    </w:p>
    <w:p>
      <w:pPr>
        <w:ind w:left="800" w:right="280" w:hanging="328"/>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rely, and in the future will rely, on sales of our ReWalk systems and related service contracts and extended warranties for our revenue, and we may not be able to achieve or maintain market acceptance.</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0"/>
          </w:cols>
          <w:pgMar w:left="240" w:top="459" w:right="2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26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4926330"/>
                    </a:xfrm>
                    <a:prstGeom prst="rect">
                      <a:avLst/>
                    </a:prstGeom>
                    <a:noFill/>
                  </pic:spPr>
                </pic:pic>
              </a:graphicData>
            </a:graphic>
          </wp:anchor>
        </w:drawing>
      </w:r>
    </w:p>
    <w:p>
      <w:pPr>
        <w:spacing w:after="0" w:line="323" w:lineRule="exact"/>
        <w:rPr>
          <w:sz w:val="20"/>
          <w:szCs w:val="20"/>
          <w:color w:val="auto"/>
        </w:rPr>
      </w:pPr>
    </w:p>
    <w:p>
      <w:pPr>
        <w:ind w:left="800" w:hanging="32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market for medical exoskeletons is new and unproven, and important assumptions about the potential market for our products may be inaccurate.</w:t>
      </w:r>
    </w:p>
    <w:p>
      <w:pPr>
        <w:spacing w:after="0" w:line="113" w:lineRule="exact"/>
        <w:rPr>
          <w:rFonts w:ascii="Arial" w:cs="Arial" w:eastAsia="Arial" w:hAnsi="Arial"/>
          <w:sz w:val="16"/>
          <w:szCs w:val="16"/>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upon which you can evaluate our business plan and prospects.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expand our sales, marketing and training infrastructure, we may fail to increase our sales.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health benefits of ReWalk have not been substantiated by long-term clinical data, which could limit sales.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fail to secure or retain adequate coverage or reimbursement for ReWalk by third-party payors.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depend on a single third-party to manufacture ReWalk and a limited number of third-party suppliers for certain components of ReWalk.</w:t>
      </w:r>
    </w:p>
    <w:p>
      <w:pPr>
        <w:spacing w:after="0" w:line="113" w:lineRule="exact"/>
        <w:rPr>
          <w:rFonts w:ascii="Arial" w:cs="Arial" w:eastAsia="Arial" w:hAnsi="Arial"/>
          <w:sz w:val="16"/>
          <w:szCs w:val="16"/>
          <w:color w:val="auto"/>
        </w:rPr>
      </w:pPr>
    </w:p>
    <w:p>
      <w:pPr>
        <w:ind w:left="800" w:hanging="32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future growth and operating results will depend on our ability to develop and commercialize new products and penetrate new markets.</w:t>
      </w:r>
    </w:p>
    <w:p>
      <w:pPr>
        <w:spacing w:after="0" w:line="113" w:lineRule="exact"/>
        <w:rPr>
          <w:rFonts w:ascii="Arial" w:cs="Arial" w:eastAsia="Arial" w:hAnsi="Arial"/>
          <w:sz w:val="16"/>
          <w:szCs w:val="16"/>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competitive industry that is subject to rapid technological change, and we expect competition to increase.</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net losses since our inception.</w:t>
      </w:r>
    </w:p>
    <w:p>
      <w:pPr>
        <w:spacing w:after="0" w:line="90" w:lineRule="exact"/>
        <w:rPr>
          <w:rFonts w:ascii="Arial" w:cs="Arial" w:eastAsia="Arial" w:hAnsi="Arial"/>
          <w:sz w:val="18"/>
          <w:szCs w:val="18"/>
          <w:color w:val="auto"/>
        </w:rPr>
      </w:pPr>
    </w:p>
    <w:p>
      <w:pPr>
        <w:ind w:left="800" w:hanging="328"/>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accountants’ report on our financial statements for the year ended December 31, 2013 includes an explanatory paragraph that expresses substantial doubt about our ability to continue as a “going concern.”</w:t>
      </w:r>
    </w:p>
    <w:p>
      <w:pPr>
        <w:spacing w:after="0" w:line="5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extensive governmental regulations relating to the manufacturing, labeling and marketing of our products.</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Principal Shareholders</w:t>
      </w:r>
    </w:p>
    <w:p>
      <w:pPr>
        <w:spacing w:after="0" w:line="96" w:lineRule="exact"/>
        <w:rPr>
          <w:sz w:val="20"/>
          <w:szCs w:val="20"/>
          <w:color w:val="auto"/>
        </w:rPr>
      </w:pPr>
    </w:p>
    <w:p>
      <w:pPr>
        <w:ind w:left="20" w:right="20" w:firstLine="456"/>
        <w:spacing w:after="0" w:line="255" w:lineRule="auto"/>
        <w:rPr>
          <w:sz w:val="20"/>
          <w:szCs w:val="20"/>
          <w:color w:val="auto"/>
        </w:rPr>
      </w:pPr>
      <w:r>
        <w:rPr>
          <w:rFonts w:ascii="Arial" w:cs="Arial" w:eastAsia="Arial" w:hAnsi="Arial"/>
          <w:sz w:val="18"/>
          <w:szCs w:val="18"/>
          <w:color w:val="auto"/>
        </w:rPr>
        <w:t>Upon the closing of this offering, entities affiliated with SCP Vitalife Partners, Yaskawa Electric Corporation, or Yaskawa, Israeli Health Care Ventures II, L.P. and entities affiliated with Pontifax (Cayman) II, L.P. will beneficially own 48.3% of our outstanding ordinary shares in the aggregate (or 46.3% if the underwriters exercise in full their option to purchase additional shares). Upon the closing of this offering, we will not be a party to and are not otherwise aware of any voting agreement that will exist among our shareholders. For further information about the ownership of our ordinary shares upon the closing of this offering, see “Principal Shareholders.”</w:t>
      </w:r>
    </w:p>
    <w:p>
      <w:pPr>
        <w:spacing w:after="0" w:line="62" w:lineRule="exact"/>
        <w:rPr>
          <w:sz w:val="20"/>
          <w:szCs w:val="20"/>
          <w:color w:val="auto"/>
        </w:rPr>
      </w:pPr>
    </w:p>
    <w:p>
      <w:pPr>
        <w:ind w:left="20" w:firstLine="456"/>
        <w:spacing w:after="0" w:line="294" w:lineRule="auto"/>
        <w:rPr>
          <w:sz w:val="20"/>
          <w:szCs w:val="20"/>
          <w:color w:val="auto"/>
        </w:rPr>
      </w:pPr>
      <w:r>
        <w:rPr>
          <w:rFonts w:ascii="Arial" w:cs="Arial" w:eastAsia="Arial" w:hAnsi="Arial"/>
          <w:sz w:val="16"/>
          <w:szCs w:val="16"/>
          <w:color w:val="auto"/>
        </w:rPr>
        <w:t>We have entered into a Strategic Alliance Agreement with Yaskawa pursuant to which, among other arrangements, we and Yaskawa will collaborate with respect to the marketing, distribution and commercialization of our products by Yaskawa, the marketing and distribution of future Yaskawa products by us and the improvement and quality control of our products. In the future, subject to any necessary regulatory clearance, this agreement entitles us to market and sell certain of Yaskawa’s products currently under development in the United States and Europe. The term of the agreement is ten years, but it may be terminated by either party after seven years or upon 60 days’ notice in the event of an uncured default under the agreement.</w:t>
      </w:r>
    </w:p>
    <w:p>
      <w:pPr>
        <w:spacing w:after="0" w:line="35" w:lineRule="exact"/>
        <w:rPr>
          <w:sz w:val="20"/>
          <w:szCs w:val="20"/>
          <w:color w:val="auto"/>
        </w:rPr>
      </w:pPr>
    </w:p>
    <w:p>
      <w:pPr>
        <w:ind w:left="20" w:right="80" w:firstLine="456"/>
        <w:spacing w:after="0" w:line="254" w:lineRule="auto"/>
        <w:rPr>
          <w:sz w:val="20"/>
          <w:szCs w:val="20"/>
          <w:color w:val="auto"/>
        </w:rPr>
      </w:pPr>
      <w:r>
        <w:rPr>
          <w:rFonts w:ascii="Arial" w:cs="Arial" w:eastAsia="Arial" w:hAnsi="Arial"/>
          <w:sz w:val="18"/>
          <w:szCs w:val="18"/>
          <w:color w:val="auto"/>
        </w:rPr>
        <w:t>We and Yaskawa also entered into an Exclusive Distribution Agreement which provides that Yaskawa will be our exclusive distributor in Japan, China (including Hong Kong and Macau), Taiwan, South Korea, Singapore and Thailand. In addition, Yaskawa has a right of first refusal to serve as distributor in certain other Asian markets, subject to an agreement on minimum purchase requirements. In addition, if we offer better pricing to any other distributor than what we offer Yaskawa, Yaskawa will be entitled to that pricing. The term of the Exclusive Distribution Agreement is ten years, but it may be terminated by either party upon 90 days’ written notice after seven years or upon certain other events. See “Certain Relationships and Related Party Transactions—Agreements with Yaskawa.”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87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1187450"/>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 w:right="20" w:firstLine="456"/>
        <w:spacing w:after="0" w:line="294" w:lineRule="auto"/>
        <w:rPr>
          <w:sz w:val="20"/>
          <w:szCs w:val="20"/>
          <w:color w:val="auto"/>
        </w:rPr>
      </w:pPr>
      <w:r>
        <w:rPr>
          <w:rFonts w:ascii="Arial" w:cs="Arial" w:eastAsia="Arial" w:hAnsi="Arial"/>
          <w:sz w:val="16"/>
          <w:szCs w:val="16"/>
          <w:color w:val="auto"/>
        </w:rPr>
        <w:t>We are incorporated under the laws of the State of Israel. Our corporate headquarters are located at Kochav Yokneam Building, Floor 6, Yokneam Ilit 20692, Israel, and our telephone number is +972 (4) 959 0123. We also have offices in Marlborough, Massachusetts and Berlin, Germany. Our website address is http://rewalk.com/.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ReWalk Robotics, Inc., located at 33 Locke Drive, Marlborough, Massachusetts 01752, and its telephone number is (508) 251-1154.</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ReWalk</w:t>
      </w:r>
      <w:r>
        <w:rPr>
          <w:rFonts w:ascii="Arial" w:cs="Arial" w:eastAsia="Arial" w:hAnsi="Arial"/>
          <w:sz w:val="10"/>
          <w:szCs w:val="10"/>
          <w:color w:val="auto"/>
        </w:rPr>
        <w:t>®</w:t>
      </w:r>
      <w:r>
        <w:rPr>
          <w:rFonts w:ascii="Arial" w:cs="Arial" w:eastAsia="Arial" w:hAnsi="Arial"/>
          <w:sz w:val="15"/>
          <w:szCs w:val="15"/>
          <w:color w:val="auto"/>
        </w:rPr>
        <w:t xml:space="preserve"> is our registered trademark in Israel. Other trademarks and service marks appearing in this prospectus are the property of their respective holders.</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380"/>
          </w:cols>
          <w:pgMar w:left="240" w:top="459" w:right="279" w:bottom="1440" w:gutter="0" w:footer="0" w:header="0"/>
        </w:sect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Ordinary shares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3,350,000 ordinary shares</w:t>
      </w:r>
    </w:p>
    <w:p>
      <w:pPr>
        <w:spacing w:after="0" w:line="138" w:lineRule="exact"/>
        <w:rPr>
          <w:sz w:val="20"/>
          <w:szCs w:val="20"/>
          <w:color w:val="auto"/>
        </w:rPr>
      </w:pPr>
    </w:p>
    <w:p>
      <w:pPr>
        <w:sectPr>
          <w:pgSz w:w="11900" w:h="16838" w:orient="portrait"/>
          <w:cols w:equalWidth="0" w:num="2">
            <w:col w:w="3640" w:space="720"/>
            <w:col w:w="7020"/>
          </w:cols>
          <w:pgMar w:left="240" w:top="459" w:right="27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11,517,356 ordinary shares</w:t>
      </w:r>
    </w:p>
    <w:p>
      <w:pPr>
        <w:spacing w:after="0" w:line="138" w:lineRule="exact"/>
        <w:rPr>
          <w:sz w:val="20"/>
          <w:szCs w:val="20"/>
          <w:color w:val="auto"/>
        </w:rPr>
      </w:pPr>
    </w:p>
    <w:p>
      <w:pPr>
        <w:sectPr>
          <w:pgSz w:w="11900" w:h="16838" w:orient="portrait"/>
          <w:cols w:equalWidth="0" w:num="2">
            <w:col w:w="3660" w:space="700"/>
            <w:col w:w="7020"/>
          </w:cols>
          <w:pgMar w:left="240" w:top="459" w:right="2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Underwriters’ option</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We have granted the underwriters an option for a period of 30 days after the date of this prospectus to purchase up to 502,500 additional ordinary shares.</w:t>
      </w:r>
    </w:p>
    <w:p>
      <w:pPr>
        <w:spacing w:after="0" w:line="51" w:lineRule="exact"/>
        <w:rPr>
          <w:sz w:val="20"/>
          <w:szCs w:val="20"/>
          <w:color w:val="auto"/>
        </w:rPr>
      </w:pPr>
    </w:p>
    <w:p>
      <w:pPr>
        <w:sectPr>
          <w:pgSz w:w="11900" w:h="16838" w:orient="portrait"/>
          <w:cols w:equalWidth="0" w:num="2">
            <w:col w:w="3640" w:space="720"/>
            <w:col w:w="7020"/>
          </w:cols>
          <w:pgMar w:left="240" w:top="459" w:right="27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Arial" w:cs="Arial" w:eastAsia="Arial" w:hAnsi="Arial"/>
          <w:sz w:val="18"/>
          <w:szCs w:val="18"/>
          <w:color w:val="auto"/>
        </w:rPr>
        <w:t>We intend to use the net proceeds from this offering for general corporate purposes, including sales and marketing expenditures aimed at growing our business and research and development expenditures focused on product development. We may also use net proceeds to make acquisitions or investments in complementary companies or technologies, although we do not have any agreement or understanding with respect to any such acquisition or investment at this time. See “Use of Proceeds.”</w:t>
      </w:r>
    </w:p>
    <w:p>
      <w:pPr>
        <w:spacing w:after="0" w:line="63" w:lineRule="exact"/>
        <w:rPr>
          <w:sz w:val="20"/>
          <w:szCs w:val="20"/>
          <w:color w:val="auto"/>
        </w:rPr>
      </w:pPr>
    </w:p>
    <w:p>
      <w:pPr>
        <w:sectPr>
          <w:pgSz w:w="11900" w:h="16838" w:orient="portrait"/>
          <w:cols w:equalWidth="0" w:num="2">
            <w:col w:w="3640" w:space="720"/>
            <w:col w:w="7020"/>
          </w:cols>
          <w:pgMar w:left="240" w:top="459" w:right="2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See “Risk Factors” and other information included in this prospectus for a discussion of factors you should carefully consider before deciding to invest in our ordinary shares.</w:t>
      </w:r>
    </w:p>
    <w:p>
      <w:pPr>
        <w:spacing w:after="0" w:line="51" w:lineRule="exact"/>
        <w:rPr>
          <w:sz w:val="20"/>
          <w:szCs w:val="20"/>
          <w:color w:val="auto"/>
        </w:rPr>
      </w:pPr>
    </w:p>
    <w:p>
      <w:pPr>
        <w:sectPr>
          <w:pgSz w:w="11900" w:h="16838" w:orient="portrait"/>
          <w:cols w:equalWidth="0" w:num="2">
            <w:col w:w="3640" w:space="720"/>
            <w:col w:w="7020"/>
          </w:cols>
          <w:pgMar w:left="240" w:top="459" w:right="27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RWLK</w:t>
      </w:r>
    </w:p>
    <w:p>
      <w:pPr>
        <w:spacing w:after="0" w:line="127" w:lineRule="exact"/>
        <w:rPr>
          <w:sz w:val="20"/>
          <w:szCs w:val="20"/>
          <w:color w:val="auto"/>
        </w:rPr>
      </w:pPr>
    </w:p>
    <w:p>
      <w:pPr>
        <w:sectPr>
          <w:pgSz w:w="11900" w:h="16838" w:orient="portrait"/>
          <w:cols w:equalWidth="0" w:num="2">
            <w:col w:w="3640" w:space="720"/>
            <w:col w:w="7020"/>
          </w:cols>
          <w:pgMar w:left="240" w:top="459" w:right="2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The number of ordinary shares to be outstanding after this offering is based on 8,167,356 ordinary shares outstanding as of August 1, 2014:</w:t>
      </w:r>
    </w:p>
    <w:p>
      <w:pPr>
        <w:spacing w:after="0" w:line="113" w:lineRule="exact"/>
        <w:rPr>
          <w:sz w:val="20"/>
          <w:szCs w:val="20"/>
          <w:color w:val="auto"/>
        </w:rPr>
      </w:pPr>
    </w:p>
    <w:p>
      <w:pPr>
        <w:ind w:left="800" w:hanging="328"/>
        <w:spacing w:after="0" w:line="25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assuming the exercise on such date of warrants to purchase 17,953 of our preferred shares that expire upon the consummation of this offering into 11,050 preferred shares (representing 198,900 ordinary shares after the share split described below), and the conversion on such date of all outstanding ordinary A shares, ordinary B shares, preferred shares and preferred shares issuable upon the exercise of such outstanding warrants into ordinary shares;</w:t>
      </w:r>
    </w:p>
    <w:p>
      <w:pPr>
        <w:spacing w:after="0" w:line="62" w:lineRule="exact"/>
        <w:rPr>
          <w:rFonts w:ascii="Arial" w:cs="Arial" w:eastAsia="Arial" w:hAnsi="Arial"/>
          <w:sz w:val="18"/>
          <w:szCs w:val="18"/>
          <w:color w:val="auto"/>
        </w:rPr>
      </w:pPr>
    </w:p>
    <w:p>
      <w:pPr>
        <w:ind w:left="800" w:right="260" w:hanging="328"/>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1,396,746 ordinary shares reserved for issuance under our equity incentive plans as of August 19, 2014, of which there were outstanding options to purchase 1,115,640 shares at a weighted average exercise price of $1.30 per share;</w:t>
      </w:r>
    </w:p>
    <w:p>
      <w:pPr>
        <w:spacing w:after="0" w:line="50" w:lineRule="exact"/>
        <w:rPr>
          <w:rFonts w:ascii="Arial" w:cs="Arial" w:eastAsia="Arial" w:hAnsi="Arial"/>
          <w:sz w:val="18"/>
          <w:szCs w:val="18"/>
          <w:color w:val="auto"/>
        </w:rPr>
      </w:pPr>
    </w:p>
    <w:p>
      <w:pPr>
        <w:ind w:left="800" w:hanging="328"/>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warrants to purchase 777,996 of our ordinary shares that will remain outstanding after this offering; and</w:t>
      </w:r>
    </w:p>
    <w:p>
      <w:pPr>
        <w:spacing w:after="0" w:line="90" w:lineRule="exact"/>
        <w:rPr>
          <w:rFonts w:ascii="Arial" w:cs="Arial" w:eastAsia="Arial" w:hAnsi="Arial"/>
          <w:sz w:val="18"/>
          <w:szCs w:val="18"/>
          <w:color w:val="auto"/>
        </w:rPr>
      </w:pPr>
    </w:p>
    <w:p>
      <w:pPr>
        <w:ind w:left="800" w:right="20" w:hanging="328"/>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assuming the issuance to our founder, Dr. Amit Goffer, of 326,034 ordinary shares immediately prior to the closing of this offering, such that the value of his ownership interest equals 6% of our valuation, in accordance with our Articles of Association and our Fourth Amended and Restated Shareholders Agreement.</w:t>
      </w:r>
    </w:p>
    <w:p>
      <w:pPr>
        <w:spacing w:after="0" w:line="59" w:lineRule="exact"/>
        <w:rPr>
          <w:sz w:val="20"/>
          <w:szCs w:val="20"/>
          <w:color w:val="auto"/>
        </w:rPr>
      </w:pPr>
    </w:p>
    <w:p>
      <w:pPr>
        <w:ind w:left="20" w:right="80"/>
        <w:spacing w:after="0" w:line="268" w:lineRule="auto"/>
        <w:rPr>
          <w:sz w:val="20"/>
          <w:szCs w:val="20"/>
          <w:color w:val="auto"/>
        </w:rPr>
      </w:pPr>
      <w:r>
        <w:rPr>
          <w:rFonts w:ascii="Arial" w:cs="Arial" w:eastAsia="Arial" w:hAnsi="Arial"/>
          <w:sz w:val="18"/>
          <w:szCs w:val="18"/>
          <w:color w:val="auto"/>
        </w:rPr>
        <w:t>For more information regarding the securities that Dr. Goffer has the right to receive, see “Certain Relationships and Related Party Transactions—Arrangements with Founder.”</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Unless otherwise indicated, this prospectus:</w:t>
      </w:r>
    </w:p>
    <w:p>
      <w:pPr>
        <w:spacing w:after="0" w:line="90" w:lineRule="exact"/>
        <w:rPr>
          <w:sz w:val="20"/>
          <w:szCs w:val="20"/>
          <w:color w:val="auto"/>
        </w:rPr>
      </w:pPr>
    </w:p>
    <w:p>
      <w:pPr>
        <w:ind w:left="800" w:right="100" w:hanging="328"/>
        <w:spacing w:after="0" w:line="25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the exercise immediately prior to the closing of this offering of our outstanding warrants described above that expire upon the consummation of this offering and the related forfeiture of 6,903 of such warrants in connection with the cashless exercise of certain warrants, and the conversion of all outstanding ordinary A shares, ordinary B shares, preferred shares and preferred shares issuable upon the exercise of such warrants into ordinary shares;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238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1238885"/>
                    </a:xfrm>
                    <a:prstGeom prst="rect">
                      <a:avLst/>
                    </a:prstGeom>
                    <a:noFill/>
                  </pic:spPr>
                </pic:pic>
              </a:graphicData>
            </a:graphic>
          </wp:anchor>
        </w:drawing>
      </w:r>
    </w:p>
    <w:p>
      <w:pPr>
        <w:spacing w:after="0" w:line="323" w:lineRule="exact"/>
        <w:rPr>
          <w:sz w:val="20"/>
          <w:szCs w:val="20"/>
          <w:color w:val="auto"/>
        </w:rPr>
      </w:pPr>
    </w:p>
    <w:p>
      <w:pPr>
        <w:ind w:left="800" w:right="140" w:hanging="328"/>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gives effect to the adoption of our amended articles of association immediately prior to the closing of this offering, which will replace our articles of association currently in effect;</w:t>
      </w:r>
    </w:p>
    <w:p>
      <w:pPr>
        <w:spacing w:after="0" w:line="50" w:lineRule="exact"/>
        <w:rPr>
          <w:rFonts w:ascii="Arial" w:cs="Arial" w:eastAsia="Arial" w:hAnsi="Arial"/>
          <w:sz w:val="18"/>
          <w:szCs w:val="18"/>
          <w:color w:val="auto"/>
        </w:rPr>
      </w:pPr>
    </w:p>
    <w:p>
      <w:pPr>
        <w:ind w:left="800" w:right="100" w:hanging="328"/>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gives effect to an 18-for-1 share split of our ordinary shares effected on August 25, 2014 by means of a share dividend of 17 ordinary shares for each ordinary share then outstanding;</w:t>
      </w:r>
    </w:p>
    <w:p>
      <w:pPr>
        <w:spacing w:after="0" w:line="50" w:lineRule="exact"/>
        <w:rPr>
          <w:rFonts w:ascii="Arial" w:cs="Arial" w:eastAsia="Arial" w:hAnsi="Arial"/>
          <w:sz w:val="18"/>
          <w:szCs w:val="18"/>
          <w:color w:val="auto"/>
        </w:rPr>
      </w:pPr>
    </w:p>
    <w:p>
      <w:pPr>
        <w:ind w:left="800" w:hanging="328"/>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an offering of 3,350,000 ordinary shares and an initial public offering price of $15.00 per ordinary share, the midpoint of the estimated initial public offering price range set forth on the cover page of this prospectus; and</w:t>
      </w:r>
    </w:p>
    <w:p>
      <w:pPr>
        <w:spacing w:after="0" w:line="50" w:lineRule="exact"/>
        <w:rPr>
          <w:rFonts w:ascii="Arial" w:cs="Arial" w:eastAsia="Arial" w:hAnsi="Arial"/>
          <w:sz w:val="18"/>
          <w:szCs w:val="18"/>
          <w:color w:val="auto"/>
        </w:rPr>
      </w:pPr>
    </w:p>
    <w:p>
      <w:pPr>
        <w:ind w:left="800" w:hanging="328"/>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up to 502,500 additional ordinary shares from us.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 w:right="200" w:firstLine="456"/>
        <w:spacing w:after="0" w:line="294" w:lineRule="auto"/>
        <w:rPr>
          <w:sz w:val="20"/>
          <w:szCs w:val="20"/>
          <w:color w:val="auto"/>
        </w:rPr>
      </w:pPr>
      <w:r>
        <w:rPr>
          <w:rFonts w:ascii="Arial" w:cs="Arial" w:eastAsia="Arial" w:hAnsi="Arial"/>
          <w:sz w:val="16"/>
          <w:szCs w:val="16"/>
          <w:color w:val="auto"/>
        </w:rPr>
        <w:t>The summary consolidated financial data set forth below for the years ended December 31, 2012 and 2013 is derived from our audited consolidated financial statements, which have been prepared in accordance with U.S. GAAP and are presented elsewhere in this prospectus. The summary consolidated financial statement data for the six months ended June 30, 2013 and 2014, and as of June 30, 2014, is derived from our unaudited interim consolidated financial statements presented elsewhere in this prospectus. In the opinion of management, these unaudited interim consolidated financial statements include all adjustments, consisting of normal recurring adjustments, necessary for a fair statement of our financial position and operating results for these periods.</w:t>
      </w:r>
    </w:p>
    <w:p>
      <w:pPr>
        <w:spacing w:after="0" w:line="35" w:lineRule="exact"/>
        <w:rPr>
          <w:sz w:val="20"/>
          <w:szCs w:val="20"/>
          <w:color w:val="auto"/>
        </w:rPr>
      </w:pPr>
    </w:p>
    <w:p>
      <w:pPr>
        <w:ind w:left="20" w:right="180" w:firstLine="456"/>
        <w:spacing w:after="0" w:line="255" w:lineRule="auto"/>
        <w:rPr>
          <w:sz w:val="20"/>
          <w:szCs w:val="20"/>
          <w:color w:val="auto"/>
        </w:rPr>
      </w:pPr>
      <w:r>
        <w:rPr>
          <w:rFonts w:ascii="Arial" w:cs="Arial" w:eastAsia="Arial" w:hAnsi="Arial"/>
          <w:sz w:val="18"/>
          <w:szCs w:val="18"/>
          <w:color w:val="auto"/>
        </w:rPr>
        <w:t>You should read the following summary consolidated financial data in conjunction with, and it is qualified in its entirety by reference to, our consolidated financial statements and the related notes appearing elsewhere in this prospectus and other information provided in this prospectus, including “Selected Consolidated Financial Data” and “Management’s Discussion and Analysis of Financial Condition and Results of Operations.” The historical results set forth below are not necessarily indicative of the results to be expected in future periods and results for interim periods are not necessarily indicative of the results that may be expected for the entire year.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36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5"/>
          </w:tcPr>
          <w:p>
            <w:pPr>
              <w:jc w:val="right"/>
              <w:ind w:right="980"/>
              <w:spacing w:after="0" w:line="142" w:lineRule="exact"/>
              <w:rPr>
                <w:sz w:val="20"/>
                <w:szCs w:val="20"/>
                <w:color w:val="auto"/>
              </w:rPr>
            </w:pPr>
            <w:r>
              <w:rPr>
                <w:rFonts w:ascii="Arial" w:cs="Arial" w:eastAsia="Arial" w:hAnsi="Arial"/>
                <w:sz w:val="14"/>
                <w:szCs w:val="14"/>
                <w:color w:val="auto"/>
                <w:w w:val="88"/>
              </w:rPr>
              <w:t>(in thousands, except per share data)</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Revenues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972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1,588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797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rPr>
              <w:t>Gross loss</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20"/>
                <w:szCs w:val="20"/>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2,463</w:t>
            </w:r>
          </w:p>
        </w:tc>
        <w:tc>
          <w:tcPr>
            <w:tcW w:w="16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4,091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1,762</w:t>
            </w:r>
          </w:p>
        </w:tc>
        <w:tc>
          <w:tcPr>
            <w:tcW w:w="16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8,316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19"/>
                <w:szCs w:val="19"/>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8,745</w:t>
            </w:r>
          </w:p>
        </w:tc>
        <w:tc>
          <w:tcPr>
            <w:tcW w:w="16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3,784</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3,410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440"/>
              <w:spacing w:after="0"/>
              <w:rPr>
                <w:sz w:val="20"/>
                <w:szCs w:val="20"/>
                <w:color w:val="auto"/>
              </w:rPr>
            </w:pPr>
            <w:r>
              <w:rPr>
                <w:rFonts w:ascii="Arial" w:cs="Arial" w:eastAsia="Arial" w:hAnsi="Arial"/>
                <w:sz w:val="18"/>
                <w:szCs w:val="18"/>
                <w:color w:val="auto"/>
              </w:rPr>
              <w:t>Loss before income taxes</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19"/>
                <w:szCs w:val="19"/>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12,155</w:t>
            </w:r>
          </w:p>
        </w:tc>
        <w:tc>
          <w:tcPr>
            <w:tcW w:w="16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440"/>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6,658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12,177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5,452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loss per ordinary share, basic and diluted(1)</w:t>
            </w:r>
          </w:p>
        </w:tc>
        <w:tc>
          <w:tcPr>
            <w:tcW w:w="7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20"/>
              <w:spacing w:after="0" w:line="203" w:lineRule="exact"/>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20"/>
              <w:spacing w:after="0" w:line="203" w:lineRule="exact"/>
              <w:rPr>
                <w:sz w:val="20"/>
                <w:szCs w:val="20"/>
                <w:color w:val="auto"/>
              </w:rPr>
            </w:pPr>
            <w:r>
              <w:rPr>
                <w:rFonts w:ascii="Arial" w:cs="Arial" w:eastAsia="Arial" w:hAnsi="Arial"/>
                <w:sz w:val="18"/>
                <w:szCs w:val="18"/>
                <w:color w:val="auto"/>
              </w:rPr>
              <w:t>(74.53)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20"/>
              <w:spacing w:after="0" w:line="203" w:lineRule="exact"/>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w w:val="96"/>
              </w:rPr>
              <w:t>Weighted average number of shares used in computing net loss per</w:t>
            </w: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ordinary share, basic and diluted</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w w:val="95"/>
              </w:rPr>
              <w:t>185,688</w:t>
            </w:r>
          </w:p>
        </w:tc>
        <w:tc>
          <w:tcPr>
            <w:tcW w:w="100" w:type="dxa"/>
            <w:vAlign w:val="bottom"/>
          </w:tcPr>
          <w:p>
            <w:pPr>
              <w:spacing w:after="0"/>
              <w:rPr>
                <w:sz w:val="19"/>
                <w:szCs w:val="19"/>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185,688</w:t>
            </w:r>
          </w:p>
        </w:tc>
        <w:tc>
          <w:tcPr>
            <w:tcW w:w="16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w w:val="95"/>
              </w:rPr>
              <w:t>185,688</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187,398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ordinary share, basic and diluted(2)(3)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w w:val="94"/>
              </w:rPr>
              <w:t>Pro forma weighted average number of shares used in computing net</w:t>
            </w: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loss per ordinary share, basic and diluted(2)</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w w:val="84"/>
              </w:rPr>
              <w:t>4,349,664</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6,304,194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As of June 30, 2014</w:t>
            </w:r>
          </w:p>
        </w:tc>
      </w:tr>
      <w:tr>
        <w:trPr>
          <w:trHeight w:val="142"/>
        </w:trPr>
        <w:tc>
          <w:tcPr>
            <w:tcW w:w="8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86"/>
              </w:rPr>
              <w:t>Actual(4)</w:t>
            </w:r>
          </w:p>
        </w:tc>
        <w:tc>
          <w:tcPr>
            <w:tcW w:w="1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As Adjusted(5)</w:t>
            </w:r>
          </w:p>
        </w:tc>
        <w:tc>
          <w:tcPr>
            <w:tcW w:w="100" w:type="dxa"/>
            <w:vAlign w:val="bottom"/>
          </w:tcPr>
          <w:p>
            <w:pPr>
              <w:spacing w:after="0"/>
              <w:rPr>
                <w:sz w:val="12"/>
                <w:szCs w:val="12"/>
                <w:color w:val="auto"/>
              </w:rPr>
            </w:pPr>
          </w:p>
        </w:tc>
      </w:tr>
      <w:tr>
        <w:trPr>
          <w:trHeight w:val="142"/>
        </w:trPr>
        <w:tc>
          <w:tcPr>
            <w:tcW w:w="8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jc w:val="right"/>
              <w:ind w:right="778"/>
              <w:spacing w:after="0" w:line="142" w:lineRule="exact"/>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904</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46,203</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5,236</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49,471</w:t>
            </w:r>
          </w:p>
        </w:tc>
      </w:tr>
      <w:tr>
        <w:trPr>
          <w:trHeight w:val="228"/>
        </w:trPr>
        <w:tc>
          <w:tcPr>
            <w:tcW w:w="8860" w:type="dxa"/>
            <w:vAlign w:val="bottom"/>
          </w:tcPr>
          <w:p>
            <w:pPr>
              <w:spacing w:after="0"/>
              <w:rPr>
                <w:sz w:val="20"/>
                <w:szCs w:val="20"/>
                <w:color w:val="auto"/>
              </w:rPr>
            </w:pPr>
            <w:r>
              <w:rPr>
                <w:rFonts w:ascii="Arial" w:cs="Arial" w:eastAsia="Arial" w:hAnsi="Arial"/>
                <w:sz w:val="18"/>
                <w:szCs w:val="18"/>
                <w:color w:val="auto"/>
              </w:rPr>
              <w:t>Convertible preferred share warrant liability(6)</w:t>
            </w:r>
          </w:p>
        </w:tc>
        <w:tc>
          <w:tcPr>
            <w:tcW w:w="80" w:type="dxa"/>
            <w:vAlign w:val="bottom"/>
          </w:tcPr>
          <w:p>
            <w:pPr>
              <w:spacing w:after="0"/>
              <w:rPr>
                <w:sz w:val="19"/>
                <w:szCs w:val="19"/>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4,968</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8"/>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(36,647)</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(41,538)</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Total shareholders’ equity (deficiency)</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(2,612)</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47,110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loss per ordinary share, basic and diluted, is calculated by dividing our net loss excluding dividends accrued on our convertible preferred shares outstanding during the period presented by the weighted average number of shares outstanding during the period presented. See Note 2u to our consolidated financial statements presented elsewhere in this prospectus.</w:t>
      </w:r>
    </w:p>
    <w:p>
      <w:pPr>
        <w:ind w:left="460" w:right="10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 forma net loss per ordinary share and pro forma weighted average number of shares outstanding assume the conversion of our preferred shares, including preferred shares issuable in connection with the exercise of outstanding warrants, into ordinary shares, which will occur immediately prior to the closing of this offering, but does not include the issuance of shares in connection with this offering. For additional information on the conversion of the preferred shares, see Note 9 to our consolidated financial statements included elsewhere in this prospectus.</w:t>
      </w:r>
    </w:p>
    <w:p>
      <w:pPr>
        <w:spacing w:after="0" w:line="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 forma net loss per ordinary share, basic and diluted, assumes an adjustment to net loss in order to eliminate the revaluation expenses of our warrants liability. See Note 2e to our consolidated financial statements presented elsewhere in this prospectus.</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payment of $0.5 million of offering expenses through June 30, 2014.</w:t>
      </w:r>
    </w:p>
    <w:p>
      <w:pPr>
        <w:spacing w:after="0" w:line="9" w:lineRule="exact"/>
        <w:rPr>
          <w:rFonts w:ascii="Arial" w:cs="Arial" w:eastAsia="Arial" w:hAnsi="Arial"/>
          <w:sz w:val="18"/>
          <w:szCs w:val="18"/>
          <w:color w:val="auto"/>
        </w:rPr>
      </w:pPr>
    </w:p>
    <w:p>
      <w:pPr>
        <w:ind w:left="460" w:right="120" w:hanging="452"/>
        <w:spacing w:after="0" w:line="30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 adjusted gives effect to (a) the conversion of our preferred shares, including preferred shares issuable in connection with the exercise of outstanding warrants, into ordinary shares, which will occur immediately prior to the closing of this offering, (b) the receipt of $0.4 million by us upon the closing of this offering from the exercise of warrants prior to the closing of this offering, (c) the issuance of 326,034 ordinary shares to our founder, Dr. Amit Goffer (see “Certain Relationships and Related Party Transactions—Arrangements with Founder”) and (d) the issuance and sale of ordinary shares by us in this offering at an assumed initial public offering price of $15.00 per ordinary share, the midpoint of the range on the front cover of this prospectus, after deducting underwriting discounts and commissions and estimated offering expenses payable by us. Excludes (a) $0.7 million received by us after June 30, 2014 in connection with the exercise of warrants and (b) $13.0 million received by us after June 30, 2014 in connection with our series E financing round.</w:t>
      </w:r>
    </w:p>
    <w:p>
      <w:pPr>
        <w:spacing w:after="0" w:line="3" w:lineRule="exact"/>
        <w:rPr>
          <w:rFonts w:ascii="Arial" w:cs="Arial" w:eastAsia="Arial" w:hAnsi="Arial"/>
          <w:sz w:val="15"/>
          <w:szCs w:val="15"/>
          <w:color w:val="auto"/>
        </w:rPr>
      </w:pPr>
    </w:p>
    <w:p>
      <w:pPr>
        <w:ind w:left="460" w:right="10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elimination of convertible preferred share warrant liability relates to the exercise of warrants to purchase convertible preferred shares upon the closing of this offering and the corresponding reclassification of such liability to additional paid-in capital.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An investment in our ordinary shares involves a high degree of risk. You should consider carefully the risks described below and all other information contained in this prospectus before you decide to buy our ordinary shares. If any of the following risks actually occur, our business, financial condition and results of operations could be materially and adversely affected. In that event, the trading price of our ordinary shares would likely decline and you might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currently rely, and in the future will rely, on sales of our ReWalk systems and related service contracts and extended warranties for our revenue, and we may not be able to achieve or maintain market acceptance.</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currently rely, and in the future will rely, on sales of our ReWalk systems and related service contracts and extended warranties for our revenue. ReWalk is a new product, and market acceptance and adoption depend on educating people with limited upright mobility and health care providers as to the distinct features, ease-of-use, positive lifestyle impact and other benefits of ReWalk compared to alternative technologies and treatments. ReWalk may not be perceived to have sufficient potential benefits compared with these alternatives. Users may also choose other therapies due to disadvantages of ReWalk, including the time it takes for a user to put on ReWalk, the slower pace of ReWalk compared to a wheelchair, the weight of ReWalk when carried, which makes it more burdensome for a companion to transport than a wheelchair, and the requirement that users be accompanied by a trained companion. Also, we believe that healthcare providers tend to be slow to change their medical treatment practices because of perceived liability risks arising from the use of new products and the uncertainty of third-party reimbursement. Accordingly, healthcare providers may not recommend ReWalk until there is sufficient evidence to convince them to alter the treatment methods they typically recommend, such as prominent healthcare providers or other key opinion leaders in the spinal cord injury community recommending ReWalk as effective in providing identifiable immediate and long-term health benefits.</w:t>
      </w:r>
    </w:p>
    <w:p>
      <w:pPr>
        <w:spacing w:after="0" w:line="4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health insurance companies and other third-party payors may not provide adequate coverage or reimbursement for our products. We may be unable to sell ReWalk systems on a profitable basis if third-party payors deny coverage, limit reimbursement or reduce their levels of payment, or if our costs of production increase faster than increases in reimbursement levels. In addition, we may not obtain coverage and reimbursement approvals in a timely manner. Our failure to receive such approvals would negatively impact market acceptance of ReWalk.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Achieving and maintaining market acceptance of ReWalk could be negatively impacted by many other factors, including, but not limited to:</w:t>
      </w:r>
    </w:p>
    <w:p>
      <w:pPr>
        <w:spacing w:after="0" w:line="113" w:lineRule="exact"/>
        <w:rPr>
          <w:sz w:val="20"/>
          <w:szCs w:val="20"/>
          <w:color w:val="auto"/>
        </w:rPr>
      </w:pPr>
    </w:p>
    <w:p>
      <w:pPr>
        <w:ind w:left="780" w:right="6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sufficient evidence supporting the benefits of ReWalk over competitive products or other available treatment, or lifestyle management, methodologies;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clinical studies relating to ReWalk or similar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that ReWalk, or any component thereof, infringes on patent or other intellectual property rights of third-parties;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associated with the use of ReWalk or similar products or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new competitive products or greater acceptance of competitive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regulatory or legal actions relating to ReWalk or similar products or technologies;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arising from the outsourcing of our manufacturing capabilities, or our existing manufacturing and supply relationships.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factors that negatively impact sales of ReWalk would adversely affect our business, financial condition and operating results.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medical exoskeletons is new and unproven, and important assumptions about the potential market for our products may be inaccurate.</w:t>
      </w:r>
    </w:p>
    <w:p>
      <w:pPr>
        <w:spacing w:after="0" w:line="12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market for medical exoskeletons is new and unproven. Accordingly, it is difficult to predict the future size and rate of growth of the market. We cannot be certain whether the market will continue to develop or if medical exoskeletons will achieve and sustain a level of market acceptance and demand sufficient for us to continue to generate revenue and achieve profitability.</w:t>
      </w:r>
    </w:p>
    <w:p>
      <w:pPr>
        <w:spacing w:after="0" w:line="5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Limited sources exist to obtain reliable market data with respect to the number of mobility impaired individuals and the incurrence of spinal cord injuries in our target markets. In addition, there are no third-party reports or studies regarding what percentage of those with limited mobility or spinal cord injuries would be able to use exoskeletons in general, or our current or planned future products in particular. In order to use our current products marketed to those with paraplegia, users must have healthy hands and shoulders, weigh less than 220 pounds/100 kilograms and be between 5 ft. 1 inch and 6 ft. 6 inches/1.55 meters and 2 meters.</w:t>
      </w:r>
    </w:p>
    <w:p>
      <w:pPr>
        <w:spacing w:after="0" w:line="3" w:lineRule="exact"/>
        <w:rPr>
          <w:sz w:val="20"/>
          <w:szCs w:val="20"/>
          <w:color w:val="auto"/>
        </w:rPr>
      </w:pPr>
    </w:p>
    <w:p>
      <w:pPr>
        <w:jc w:val="both"/>
        <w:ind w:right="280"/>
        <w:spacing w:after="0" w:line="295" w:lineRule="auto"/>
        <w:rPr>
          <w:sz w:val="20"/>
          <w:szCs w:val="20"/>
          <w:color w:val="auto"/>
        </w:rPr>
      </w:pPr>
      <w:r>
        <w:rPr>
          <w:rFonts w:ascii="Arial" w:cs="Arial" w:eastAsia="Arial" w:hAnsi="Arial"/>
          <w:sz w:val="16"/>
          <w:szCs w:val="16"/>
          <w:color w:val="auto"/>
        </w:rPr>
        <w:t>Users must also not have balance, brain or vestibular disorders that would affect their balance. Future products for those with paraplegia, quadriplegia or other mobility impairments or spinal cord injuries may have the same or other restrictions. Our business strategy is based, in part, on our estimates of the number of mobility impaired individuals and the incurrence of spinal cord injuries in our target markets and the percentage of those groups that would be able to use our current and future products. Our assumptions may be inaccurate and may change.</w:t>
      </w:r>
    </w:p>
    <w:p>
      <w:pPr>
        <w:spacing w:after="0" w:line="3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the medical exoskeleton market fails to develop or develops more slowly than we expect, or if we have relied on sources or made assumptions that are not accurate, our business could be adversely affected.</w:t>
      </w:r>
    </w:p>
    <w:p>
      <w:pPr>
        <w:spacing w:after="0" w:line="5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In addition, because we operate in a new market, the actions of our competitors could adversely affect our business. Adverse events such as product defects or legal claims with respect to competing or similar products could cause reputational harm to the exoskeleton market on the whole. Further, adverse regulatory findings or reimbursement-related decisions with respect to other exoskeleton products could negatively impact the entire market and, accordingly,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you can evaluate our business plan and prospects.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Although we were incorporated in 2001, we did not begin selling ReWalk Rehabilitation until 2011, and we did not begin selling ReWalk Personal in Europe until 2012. We expect to begin selling ReWalk Personal in the United States in the third quarter of 2014 as we received FDA clearance to do so in June 2014. Therefore, we have limited operating history upon which you can evaluate our business plan and prospects. Our business plan and prospects must be considered in the light of the potential problems, delays, uncertainties and complications encountered in connection with a newly established business. The risks include, but are not limited to, that:</w:t>
      </w:r>
    </w:p>
    <w:p>
      <w:pPr>
        <w:spacing w:after="0" w:line="62"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market will not develop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will not be able to develop scalable products and services, or that although scalable, our products and services will not be economical to market;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be able to establish brand recognition and competitive advantages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receive necessary regulatory clearances or approvals for our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market an equivalent or superior product or hold proprietary rights that preclude us from marketing our products.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are no assurances that we can successfully address these challenges. If we are unsuccessful, our business, financial condition and operating results could be materially and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expand our sales, marketing and training infrastructure, we may fail to increase our sales.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key element of our business strategy is the continued expansion of our sales and marketing infrastructure, through the hiring, training, retaining and motivating of skilled sales and marketing representatives with industry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experience and knowledge. In order to grow our business efficiently, we must coordinate the expansion of this infrastructure with the timing of regulatory approvals, decisions regarding reimbursements, and other factors in various geographies. Developing a sales and marketing infrastructure is expensive and time consuming and an inability to develop such an organization in a timely manner, or in coordination with regulatory or other developments, could inhibit potential sales and delay the successful adoption of ReWalk.</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expect to face significant challenges as we manage and grow our sales and marketing infrastructure and work to retain the individuals who make up those networks. Recently hired sales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if we are not able to recruit and retain a network of internal trainers, we may not be able to successfully train customers on the use of ReWalk, which could inhibit new sales and harm our reputation. If we are unable to expand our sales, marketing and training capabilities, we may not be able to effectively commercialize ReWalk, or enhance the strength of our brand, which could have a material adverse effect on our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 benefits of ReWalk have not been substantiated by long-term clinical data, which could limit sales.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Although our interim analysis of an ongoing study demonstrates improvements in secondary physical conditions such as reduction in pain and spasticity and improving bowel and urinary tract function, decreasing pain, emotional and psychosocial benefits, the health benefits of our current ReWalk products have not been substantiated by long-term clinical data. As a result, potential customers and healthcare providers may be slower to adopt or recommend ReWalk and third-party payors may not be willing to provide coverage or reimbursement for our products. In addition, future studies or clinical experience may indicate that treatment with our current or future ReWalk products is not superior to treatment with alternative products or therapies. Such results could slow the adoption of our products and significantly reduce our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secure or retain adequate coverage or reimbursement for ReWalk by third-party payors.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that in the future a significant source of payment for ReWalk systems will be private insurance plans and managed care programs, government programs such as the Veterans Administration, Medicare and Medicaid, worker’s compensation and other third-party payors. Currently, no uniform policy of coverage and reimbursement for electronic exoskeleton medical technology exists among third-party payors in the United States or elsewhere. To date, payments for our products have been made primarily by self-payers, through case-by-case determinations by third-party payors and by negotiating the cost of a ReWalk into accident settlements. There is limited clinical data related to ReWalk, and third-party payors may consider use of ReWalk to be experimental and therefore refuse to cover it. For example, Aetna recently announced its determination that certain lower-limb prostheses, including ReWalk, are experimental and investigational because there is inadequate evidence of their effectiveness. Private insurance companies do not currently cover or provide reimbursement for any medical exoskeleton products for personal use, including ReWalk, and may never provide such coverage.</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private third-party payors use coverage decisions and payment amounts determined by the Centers for Medicare and Medicaid Services, or CMS, which administers the Medicare program, as guidelines in setting their coverage and reimbursement policies. In the future, we will pursue economic benefit clinical studies for CMS, which we expect to demonstrate the secondary medical benefits and long-term cost savings potential of ReWalk. While we believe that a positive response from CMS in respect of such studies will broaden coverage by private insurers, we expect that it could take three to five years to receive a decision from CMS. Even with a positive decision from CMS regarding ReWalk Personal, future action by CMS or other government agencies may diminish possible payments to physicians, outpatient centers and/or hospitals that purchase ReWalk Rehabilitation, and possible payments to individuals who purchase ReWalk Personal. Additionally, a decision by CMS to provide reimbursement could influence other payors, including private insurers. If CMS declines to provide for reimbursements of ReWalk or if its reimbursement price is lower than that of other payors, ReWalk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may not be reimbursed at a cost-effective level or at all. Those private third-party payors that do not follow the Medicare guidelines may adopt different coverage and reimbursement policies for purchase of ReWalk, or use of ReWalk Rehabilitation at a hospital or rehabilitation center. In addition, we expect that the purchase of ReWalk Rehabilitation systems will require the approval of senior management at hospitals or rehabilitation facilities, inclusion in the hospitals’ or rehabilitation facilities’ budget process for capital expenditures, and in the case of ReWalk Personal, fundraising and financial planning or assistance.</w:t>
      </w:r>
    </w:p>
    <w:p>
      <w:pPr>
        <w:spacing w:after="0" w:line="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Third-party payors are developing increasingly sophisticated methods of controlling healthcare costs. These cost control methods include prospective payment systems, capitated rates, benefit redesigns and an exploration of other cost-effective methods of delivering healthcare. These cost control methods potentially limit the amount that healthcare providers may be willing to pay for electronic exoskeleton medical technology, if they provide coverage at all. We may be unable to sell ReWalk systems on a profitable basis if third-party payors deny coverage or provide insufficient levels of reimbursement.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single third-party to manufacture ReWalk and a limited number of third-party suppliers for certain components of ReWalk.</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contracted with Sanmina Corporation, a well-established contract manufacturer with expertise in the medical device industry, for the manufacture of all of our products and the sourcing of all of our components and raw materials. Pursuant to this contract, Sanmina manufactures ReWalk, pursuant to our specifications, at its facility in Ma’alot, Israel. We may terminate our relationship with Sanmina at any time upon written notice. In addition, either we or Sanmina may terminate the relationship in the event of a material breach, subject to a 30-day cure period. For our business strategy to be successful, Sanmina must be able to manufacture our products in sufficient quantities, in compliance with regulatory requirements and quality control standards, in accordance with agreed upon specifications, at acceptable costs and on a timely basis. Increases in our product sales, whether forecasted or unanticipated, could strain the ability of Sanmina to manufacture an increasingly large supply of our current or future products in a manner that meets these various requirements. In addition, although we are not restricted from engaging an alternative manufacturer, and have the capabilities to manufacture ReWalk in-house, the process of moving our manufacturing activities would be time consuming and costly, and may limit our ability to meet our sales commitments, which could harm our reputation and could have a material adverse effect on our business.</w:t>
      </w:r>
    </w:p>
    <w:p>
      <w:pPr>
        <w:spacing w:after="0" w:line="4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also rely on third-party suppliers, which contract directly with Sanmina, to supply certain components of ReWalk. Sanmina does not have long-term supply agreements with most of their suppliers and, in many cases, makes purchases on a purchase order basis. Sanmina’s ability to secure adequate quantities of such products may be limited. Suppliers may encounter problems that limit their ability to manufacture components for our products, including financial difficulties or damage to their manufacturing equipment or facilities. If Sanmina fails to obtain sufficient quantities of high quality components to meet demand on a timely basis, we could lose customer orders, our reputation may be harmed and our business could suffer.</w:t>
      </w:r>
    </w:p>
    <w:p>
      <w:pPr>
        <w:spacing w:after="0" w:line="3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Sanmina generally uses a small number of suppliers for ReWalk. Depending on a limited number of suppliers exposes us to risks, including limited control over pricing, availability, quality and delivery schedules. If any one or more of our suppliers ceases to provide sufficient quantities of components in a timely manner or on acceptable terms, Sanmina would have to seek alternative sources of supply. It may be difficult to engage additional or replacement suppliers in a timely manner. Failure of these suppliers to deliver products at the level our business requires would limit our ability to meet our sales commitments, which could harm our reputation and could have a material adverse effect on our business. Sanmina also may have difficulty obtaining similar components from other suppliers that are acceptable to the FDA or other regulatory agencies, and the failure of Sanmina’s suppliers to comply with strictly enforced regulatory requirements could expose us to regulatory action including warning letters, product recalls, termination of distribution, product seizures or civil penalties. It could also require Sanmina to cease using the components, seek alternative components or technologies and we could be forced to modify our products to incorporate alternative components or technologies, which could result in a requirement to seek additional regulatory approvals. Any disruption of this nature or increased expenses could harm our commercialization efforts and adversely affect our operating results.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also rely on a limited number of suppliers for the batteries used by ReWalk and do not maintain any long-term supply agreement with respect to batteries. If we or our third-party distributors fail to obtain sufficient quantities of batteries in a timely manner, our reputation may be harmed and our business could suffer.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growth and operating results will depend on our ability to develop and commercialize new products and penetrate new markets.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next few years, we expect that a significant portion of our revenues will be derived from ReWalk products that we adapt for use by individuals with quadriplegia and other mobility impairments besides paraplegia. As such, our future results will depend on our ability to successfully develop and commercialize such products. We cannot ensure you that we will be able to introduce new products or products currently under development for additional indications in a timely manner, or at all. In addition, we may not be able to clinically demonstrate the medical benefits of our products for new indications, and we do not yet have any clinical data demonstrating the benefits of our products for indications other than paraplegia. We may also be unable to gain necessary regulatory approvals to enable us to market ReWalk for additional indications or the regulatory process may be more costly and time consuming than expected.</w:t>
      </w:r>
    </w:p>
    <w:p>
      <w:pPr>
        <w:spacing w:after="0" w:line="3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Even if we are successful in the design and development of new products, our growth and results of operations will depend on our ability to penetrate new markets and gain acceptance by the quadriplegia community and non-spinal cord injury markets such as the stroke and multiple sclerosis communities. We may not be able to gain such market acceptance in these communities in a timely manner, or at all.</w:t>
      </w:r>
    </w:p>
    <w:p>
      <w:pPr>
        <w:spacing w:after="0" w:line="5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While they will utilize the same core technology platform, our new products and products currently under development will have design features and components that differ from our current products. Accordingly, these products will also be subject to the risks described above under “—We currently rely, and in the future will rely, on sales of our ReWalk systems and related service contracts and extended warranties for our revenue.” To the extent we are unable to successfully develop and commercialize products to address indications other than paraplegia, we will not meet our projected results of operations and future growth.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competitive industry that is subject to rapid technological change, and we expect competition to increase.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are several other companies developing technology and devices that compete with ReWalk. Our principal competitors in the medical exoskeleton market consist of Ekso Bionics, Rex Bionics, Cyberdyne, and Parker Hannifin. These companies have products currently available for institutional use and some are in the early stages of the FDA clearance process for personal use. We expect some of such products to become available for personal use in the next few years. In addition, we compete with alternative devices and alternative therapies, including treadmill-based gait therapies, such as those offered by Hocoma, AlterG, Aretech and Reha Technology. These or other medical device or robotics companies, academic and research institutions, or others, may develop new technologies or therapies that provide a superior walking experience, are more effective in treating the secondary medical conditions that we target or are less expensive than ReWalk or future products. Our technologies and products could be rendered obsolete by such developments. We may also compete with other treatments and technologies that address the secondary medical conditions that ReWalk seeks to mitigate.</w:t>
      </w:r>
    </w:p>
    <w:p>
      <w:pPr>
        <w:spacing w:after="0" w:line="3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competitors may respond more quickly to new or emerging technologies, undertake more extensive marketing campaigns, have greater financial, marketing and other resources than we do or may be more successful in attracting potential customers, employees and strategic partners. In addition, potential customers, such as hospitals and rehabilitation centers, could have long-standing or contractual relationships with competitors or other medical device companies. Potential customers may be reluctant to adopt ReWalk, particularly if it competes with or has the potential to compete with or diminish the need/utilization of products or treatments supported through these existing relationships. If we are not able to compete effectively, our business and results of operations will be negatively impacted.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experienced operating losses since our inception in 2001. We expect that we will continue to incur losses for at least the next two years as we continue to commercialize our ReWalk systems, expand our sales and marketing capabilities, continue our ongoing research and development and continue to develop the corporate infrastructure necessary to market and sell our products. Additionally, following this offering, we expect general and administrative expenses to increase due to the additional operational and reporting costs associated with being a public company. Our ability to achieve profitability and positive cash flow is subject to the risks described in this section. If we are unable to become profitable with positive cash flow, the value of your investment will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meet our future capital requirements.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believe that the combination of the proceeds of this offering and our other current sources of liquidity will be sufficient to meet our anticipated cash needs for at least the next 24 months. However, if we require additional funds during that period or in later periods, we may need to seek additional sources of funds, including potentially by selling additional equity securities, borrowing or selling or licensing our assets. However, we may be unable to obtain additional funds on reasonable terms, or at all. As a result, we may be required to reduce the scope of, or delay or eliminate, some or all of our current and planned commercialization and research and development activities. We also may have to reduce marketing, customer service or other resources devoted to our business. Any of these actions could materially harm our business and results of operations. Any sale of additional equity may result in dilution to our shareholders and agreements governing any borrowing arrangement may contain covenants that could restrict our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utilize independent distributors who are free to market products that compete with ReWalk.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expect that the percentage of our sales generated from independent distributors will decrease over time as we increase our direct sales efforts in the United States in response to the receipt of FDA clearance for ReWalk Personal, we believe that a meaningful percentage of our sales will continue to be generated by independent distributors in the future. None of our independent distributors has been required to sell our products exclusively. Our distributor agreements generally have one year initial terms and automatic renewals for an additional year. If any of our key independent distributors were to cease to distribute our products,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the terms of the arrangements could cause our product margins to be lower than if we directly marketed and sold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single facility for the manufacturing and assembly of our products.</w:t>
      </w:r>
    </w:p>
    <w:p>
      <w:pPr>
        <w:spacing w:after="0" w:line="9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All manufacturing and assembly of our products is conducted at a single facility of our contract manufacturer, Sanmina, located in Ma’alot, Israel. Accordingly, we are highly dependent on the uninterrupted and efficient operation of this facility. If operations at this facility were to be disrupted as a result of equipment failures, earthquakes and other natural disasters, fires, accidents, work stoppages, power outages, acts of war or terrorism or other reasons, our business, financial condition and results of operations could be materially adversely affected. In particular, this facility is located in the north of Israel within range of rockets that have from time to time been fired into the country during armed conflicts with Hezbollah in Lebanon. Although our manufacturing and assembly operations could be transferred elsewhere, either in-house or to an alternative Sanmina facility, the process of relocating these operations would cause delays in production. Lost sales or increased costs that we may experience during the disruption, or a forced relocation, of operations may not be recoverable under our insurance policies, and longer-term business disruptions could result in a loss of customers. If this were to occur, our business, financial condition and operations could be materially negatively impacted.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receive a significant number of warranty claims or our ReWalk system may require significant amounts of service after sale.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Sales of ReWalk generally include a two-year warranty for parts and services, other than for normal wear and tear. We also provide customers with the option to purchase an extended warranty for up to an additional three years. If product returns or warranty claims are significant or exceed our expectations, we could incur unanticipated expenditures for parts and services, which could have a material adverse effect on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in our products or the software that drives them could adversely affect the results of our operations.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design, manufacture and marketing of ReWalk involve certain inherent risks. Manufacturing or design defects, unanticipated use of ReWalk, or inadequate disclosure of risks relating to the use of ReWalk can lead to injury or other adverse events. In addition, because the manufacturing of our products is outsourced to Sanmina, our original equipment manufacturer, we may not be aware of manufacturing defects that could occur. Such adverse events could lead to recalls or safety alerts relating to ReWalk (either voluntary or required by the FDA or similar governmental authorities in other countries), and could result, in certain cases, in the removal of ReWalk from the market. A recall could result in significant costs. To the extent any manufacturing defect occurs, our agreement with Sanmina contains a limitation on Sanmina’s liability, and therefore we could be required to incur the majority of related costs. Product defects or recalls could also result in negative publicity, damage to our reputation or, in some circumstances, delays in new product approvals.</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a human exoskeleton is used by a paralyzed individual to walk, the individual relies completely on the exoskeleton to hold him or her upright. In addition, ReWalk incorporates sophisticated computer software. Complex software frequently contains errors, especially when first introduced. Our software may experience errors or performance problems in the future. If any part of ReWalk’s hardware or software were to fail, the user could experience death or serious injury. Additionally, users may not use ReWalk in accordance with safety protocols and training, which could enhance the risk of death or injury. Any such occurrence could cause delay in market acceptance of ReWalk, damage to our reputation, additional regulatory filings, product recalls, increased service and warranty costs, product liability claims and loss of revenue relating to such hardware or software defects.</w:t>
      </w:r>
    </w:p>
    <w:p>
      <w:pPr>
        <w:spacing w:after="0" w:line="3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have been, and anticipate that as part of our ordinary course of business we may be, subject to product liability claims alleging defects in the design, manufacture or labeling of our products. A product liability claim, regardless of its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enhance our product offerings through our research and development efforts.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order to increase our sales and our market share in the exoskeleton market, we must enhance and broaden our research and development efforts and product offerings in response to the evolving demands of people with paraplegia or paralysis and healthcare providers, as well as competitive technologies. We may not be successful in developing, obtaining regulatory approval for, or marketing our proposed products. In addition, notwithstanding our market research efforts, our future products may not be accepted by consumers, their caregivers, healthcare providers or third-party payors who reimburse consumers for our products. The success of any proposed product offerings will depend on numerous factors, including our ability to:</w:t>
      </w:r>
    </w:p>
    <w:p>
      <w:pPr>
        <w:spacing w:after="0" w:line="35" w:lineRule="exact"/>
        <w:rPr>
          <w:sz w:val="20"/>
          <w:szCs w:val="20"/>
          <w:color w:val="auto"/>
        </w:rPr>
      </w:pPr>
    </w:p>
    <w:p>
      <w:pPr>
        <w:ind w:left="780" w:right="3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the product features that people with paraplegia or paralysis, their caregivers and healthcare providers are seeking in a medical device that restores upright mobility and successfully incorporate those features into our products;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introduce proposed products in sufficient quantities and in a timely manner;</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 the safety, efficacy and health benefits of proposed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we fail to generate demand by developing products that incorporate features desired by consumers, their caregivers or healthcare providers, or if we do not obtain regulatory clearance or approval for proposed products in time to meet market demand, we may fail to generate sales sufficient to achieve or maintain profitability. We have in the past experienced, and we may in the future experience, delays in various phases of product development, including during research and development, manufacturing, limited release testing, marketing and customer education efforts.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long-term clinical data with respect to the effects of ReWalk, and our products could cause unforeseen negative effects.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While short-term clinical studies have established the safety of ReWalk, there is no long-term clinical data with respect to the safety or physical effects of ReWalk. Future results and experience could indicate that our products are not safe for long-term use or cause unexpected complications or other unforeseen negative effects. Because ReWalk users generally do not have feeling in their lower body, users may not immediately notice damaging effects, which could exacerbate their impact. If in the future ReWalk is shown to be unsafe or cause such unforeseen effects, we could be subject to mandatory product recalls, suspension or withdrawal of FDA clearance or approval, significant legal liability or harm to our business reputation.</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ordinary course of our business, in the future we may enter into collaborations, in-licensing arrangements, joint ventures, strategic alliances or partnerships to develop ReWalk and to pursue new markets. Proposing, negotiating and implementing collaborations, in-licensing arrangements, joint ventures, strategic alliances or partnerships may be a lengthy and complex process.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For example, we have entered into an arrangement with Yaskawa for the distribution of our products in certain Asian markets, which may not be as productive or successful as we hope.</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pursue collaborations, in-licensing arrangements, joint ventures, strategic alliances or partnerships, we may not be in a position to exercise sole decision 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Our collaborators may act in their self-interest, which may be adverse to our best interest, and they may breach their obligations to us. Any such disputes could result in litigation or arbitration which would increase our expenses and divert the attention of our management. Further, these transactions and arrangements are contractual in nature and may be terminated or dissolved under the terms of the applicable agreements.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the euro and the NIS may negatively affect our earnings.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dollar is our functional and reporting currency. In 2013, most of our revenues were denominated in U.S. dollars, approximately half of our expenses were denominated in U.S. dollars, and the remainder of our expenses were denominated in NIS and euros. In 2014, we expect that the denominations of our revenues and expenses will be consistent with what we experienced in 2013. Accordingly, any appreciation of the NIS or euro relative to the U.S. dollar would adversely impact our net loss or net income, if any. We have in the past engaged in limited hedging activities, and any hedging strategies that we may implement in the future to mitigate currency risks, such as forward contracts, options and foreign exchange swaps related to transaction exposures, may not eliminate our exposure to foreign exchange fluctuations. For further information, see “Management’s Discussion and Analysis of Financial Condition and Results of Operations—Quantitative and Qualitative Disclosure About Market Risk—Foreign Currency Risk.”</w:t>
      </w:r>
    </w:p>
    <w:p>
      <w:pPr>
        <w:spacing w:after="0" w:line="19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4"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there are significant disruptions in our information technology systems, our business, financial condition and operating results could be adversely affected.</w:t>
      </w:r>
    </w:p>
    <w:p>
      <w:pPr>
        <w:spacing w:after="0" w:line="1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efficient operation of our business depends on our information technology systems. We rely on our information technology systems to effectively manage sales and marketing data, accounting and financial functions, inventory management, product development tasks, research and development data, customer service and technical support functions. Our information technology systems are vulnerable to damage or interruption from earthquakes, fires, floods and other natural disasters, terrorist attacks, attacks by computer viruses or hackers, power losses, and computer system or data network failures. In addition, our data management application is hosted by a third-party service provider whose security and information technology systems are subject to similar risks, and ReWalk systems contain software which could be subject to computer virus or hacker attacks or other failures.</w:t>
      </w:r>
    </w:p>
    <w:p>
      <w:pPr>
        <w:spacing w:after="0" w:line="3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failure of our or our service providers’ information technology systems or ReWalk’s software to perform as we anticipate or our failure to effectively implement new information technology systems could disrupt our entire operation or adversely affect our software products and could result in decreased sales, increased overhead costs, and product shortages, all of which could have a material adverse effect on our reputation, business, financial condition and operating results.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rapid growth has placed, and we expect that it will continue to place, a significant strain on our management team and on our financial resources. Failure to manage our growth effectively could cause us to misallocate management or financial resources, and result in losses or weaknesses in our infrastructure, which could materially adversely affect our business. Additionally, our anticipated growth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knowledge and skills of our senior management.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benefited substantially from the leadership and performance of our senior management. For example, we depend on our Chief Executive Officer’s experience successfully scaling an early stage medical device company, as well as the experience of other members of management. In addition, we depend on the personal experiences with paralysis of our founder, President and Chief Technology Officer in the development of our products. We carry key man insurance on Dr. Amit Goffer, our founder, President and Chief Technology Officer, but not on any other executive officer, and the amount of such coverage would likely be insufficient to offset the impact to our business of the loss of his services. Our success will depend on our ability to retain our current management. Competition for senior management in our industry is intense and we cannot guarantee that we will be able to retain our personnel. The loss of the services of certain members of our senior management could prevent or delay the implementation and completion of our strategic objectives, or divert management’s attention to seeking qualified replacements.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extensive governmental regulations relating to the manufacturing, labeling and marketing of our products.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medical products and manufacturing operations are subject to regulation by the FDA, the European Union, the Ministry of Health in Israel, and other governmental authorities both inside and outside of the United States. These agencies enforce laws and regulations that govern the development, testing, manufacturing, labeling, storage, installation, servicing, advertising, promoting, marketing, distribution, import, export and market surveillance of ReWalk.</w:t>
      </w:r>
    </w:p>
    <w:p>
      <w:pPr>
        <w:spacing w:after="0" w:line="2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products are regulated as medical devices in the United States under the Federal Food, Drug, and Cosmetic Act, or FFDCA, as implemented and enforced by the FDA. Under the FFDCA, medical devices are classified into one of three classes—Class I, Class II or Class III—depending on the degree of risk associated with the medical device and the extent of control needed to provide reasonable assurance of safety and effectiveness. Classification of a device is important because the class to which a device is assigned determines, among other things, the necessity and type of FDA review required prior to marketing the device. See “Business—Government Regulation.”</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June 2014, the FDA granted our petition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which is a route to market for medical devices that are low to moderate risk, but are not substantially equivalent to a predicate device, and classified ReWalk as Class II subject to certain special controls. The special controls established in the </w:t>
      </w:r>
      <w:r>
        <w:rPr>
          <w:rFonts w:ascii="Arial" w:cs="Arial" w:eastAsia="Arial" w:hAnsi="Arial"/>
          <w:sz w:val="16"/>
          <w:szCs w:val="16"/>
          <w:i w:val="1"/>
          <w:iCs w:val="1"/>
          <w:color w:val="auto"/>
        </w:rPr>
        <w:t xml:space="preserve">de novo </w:t>
      </w:r>
      <w:r>
        <w:rPr>
          <w:rFonts w:ascii="Arial" w:cs="Arial" w:eastAsia="Arial" w:hAnsi="Arial"/>
          <w:sz w:val="16"/>
          <w:szCs w:val="16"/>
          <w:color w:val="auto"/>
        </w:rPr>
        <w:t>order include compliance with medical device consensus standards; performance of a postmarket surveillance clinical study demonstrating a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of safety and effectiveness in urban terrain; non-clinical performance testing of the system’s function and durability; a training program; and labeling related to device use and user training. In order for us to market ReWalk, we must comply with both general controls, including controls related to quality, facility registration, reporting of adverse events and labeling, and the special controls established for the device. Failure to comply with the general and special controls could lead to removal of ReWalk from the market, which would have a material adverse effect on our business.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Following the introduction of a product, the governmental agencies will periodically review our manufacturing processes and product performance, and we are under a continuing obligation that all applicable regulatory requirements continue to be met. The process of complying with the applicable good manufacturing practices, adverse event reporting, clinical trial and other requirements can be costly and time consuming, and could delay or prevent the production, manufacturing or sale of ReWalk. In addition, if we fail to comply with applicable regulatory requirements, it could result in fines, delays or suspensions of regulatory clearances, closure of manufacturing sites, seizures or recalls of products and damage to our reputation. Recent changes in enforcement practice by the FDA, European Union and other agencies have resulted in increased enforcement activity, which increases the compliance risk that we and other companies in our industry are facing. In addition, governmental agencies may impose new requirements regarding registration, labeling or prohibited materials that may require us to modify or re-register ReWalk once it is already on the market or otherwise impact our ability to market ReWalk in those countries. The process of complying with these governmental regulations can be costly and time consuming, and could delay or prevent the production, manufacturing or sale of ReWalk.</w:t>
      </w:r>
    </w:p>
    <w:p>
      <w:pPr>
        <w:spacing w:after="0" w:line="20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If we or our third-party manufacturers or suppliers fail to comply with the FDA’s Quality System Regulation, our manufacturing operations could be interrupted.</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Sanmina and some of our suppliers are required to comply with the FDA’s QSR which covers the methods and documentation of the design, testing, production, control, quality assurance, labeling, packaging, sterilization, storage and shipping of our products. We and Sanmina and our suppliers are also subject to the regulations of foreign jurisdictions regarding the manufacturing process if we or our distributors market our products abroad. We continue to monitor our quality management in order to improve our overall level of compliance. Our facilities are subject to periodic and unannounced inspection by U.S. and foreign regulatory agencies to audit compliance with the QSR and comparable foreign regulations. If our facilities or those of Sanmina or our suppliers are found to be in violation of applicable laws and regulations, or if we or Sanmina or our suppliers fail to take satisfactory corrective action in response to an adverse inspection, the regulatory authority could take enforcement action, including any of the following sanctions:</w:t>
      </w:r>
    </w:p>
    <w:p>
      <w:pPr>
        <w:spacing w:after="0" w:line="3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detention or seizure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withdrawing 510(k) marketing clearances or PMA approvals that have already been granted;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refusing to provide Certificates for Foreign Government;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refusing to grant export approval for our products;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pursuing criminal prosecution.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of these sanctions could impair our ability to produce ReWalk in a cost-effective and timely manner in order to meet our customers’ demands, and could have a material adverse effect on our reputation, business, results of operations and financial condition. We may also be required to bear other costs or take other actions that may have a negative impact on our future sales and our ability to generate profits.</w:t>
      </w:r>
    </w:p>
    <w:p>
      <w:pPr>
        <w:spacing w:after="0" w:line="22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subject to various laws and regulations, including “fraud and abuse” laws and anti-bribery laws, which, if violated, could subject us to substantial penalties.</w:t>
      </w:r>
    </w:p>
    <w:p>
      <w:pPr>
        <w:spacing w:after="0" w:line="5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Medical device companies such as ours have faced lawsuits and investigations pertaining to alleged violations of numerous statutes and regulations, including anti-corruption laws and health care “fraud and abuse” laws, such as the federal False Claims Act, the federal Anti-Kickback Statute and the U.S. Foreign Corrupt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Practices Act, or the FCPA. See “Business—Government Regulation.” U.S. federal and state laws, including the federal Physician Payments Sunshine Act, or the Sunshine Act, and the implementation of Open Payments regulations under the Sunshine Act, require medical device companies to disclose certain payments made to healthcare providers and teaching hospitals or funds spent on marketing and promotion of medical device products. It is widely anticipated that public reporting under the Sunshine Act and implementing Open Payments regulations will result in increased scrutiny of the financial relationships between industry, physicians and teaching hospitals. These anti-kickback, anti-bribery, public reporting and aggregate spend laws affect our sales, marketing and other promotional activities by limiting the kinds of financial arrangements, including sales programs, we may have with hospitals, rehabilitation centers, physicians or other potential purchasers or users of ReWalk.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If we are in violation of any of these requirements or any actions are instituted against us, and we are not successful in defending ourselves or asserting our rights, those actions could have a significant impact on our business, including the imposition of significant criminal and civil fines and penalties, exclusion from federal healthcare programs or other sanctions.</w:t>
      </w:r>
    </w:p>
    <w:p>
      <w:pPr>
        <w:spacing w:after="0" w:line="4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FCPA applies to companies, such as us following this offering, with a class of securities registered under the Exchange Act. The FCPA and other anti-bribery laws to which various aspects of our operations may be subject generally prohibit companies and their intermediaries from making improper payments to officials for the purpose of obtaining or retaining business. In various jurisdictions, our operations require that we and third parties acting on our behalf routinely interact with government officials, including medical personnel who may be considered government officials for purposes of these laws because they are employees of state-owned or controlled facilities. Other anti-bribery laws to which various aspects of our operations may be subject, including the</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United Kingdom Bribery Act, also prohibit improper payments to private parties and prohibit receipt of improper payments. Our policies prohibit our employees from making or receiving corrupt payments, including, among other things, to require compliance by third parties engaged to act on our behalf. Our policies mandate compliance with these anti-bribery laws, however, we operate in many parts of the world that have experienced governmental and/or private corruption to some degree. As a result, the existence and implementation of a robust anti-corruption program cannot eliminate all risk that unauthorized reckless or criminal acts have been or will be committed by our employees or agents. Violations of these laws, or allegations of such violations, could disrupt our business and harm our financial condition, results of operations, cash flows and reputation.</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5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There are a number of federal, state and foreign laws protecting the confidentiality of certain patient health information, including patient records, and restricting the use and disclosure of that protected information. In particular, the U.S. Department of Health and Human Services, or HHS, promulgated patient privacy rules under the Health Insurance Portability and Accountability Act of 1996, or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in part on our ability to obtain and maintain protection for the intellectual property relating to or incorporated into our products.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in part on our ability to obtain and maintain protection for the intellectual property relating to or incorporated into our products. We seek to protect our intellectual property through a combination of patents, trademarks, confidentiality and invention assignment agreements with our employees and certain of our contractors and confidentiality agreements with certain of our consultants, scientific advisors and other vendors and contractors. In addition, we rely on trade secrets law to protect our proprietary software and product candidates/products in development.</w:t>
      </w:r>
    </w:p>
    <w:p>
      <w:pPr>
        <w:spacing w:after="0" w:line="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patent position of robotic and exoskeleton inventions can be highly uncertain and involves many new and evolving complex legal, factual and technical issues. Patent laws and interpretations of those laws are subject to change and any such changes may diminish the value of our patents or narrow the scope of protection. In addition, we may fail to apply for or be unable to obtain patents necessary to protect our technology or products or enforce our patents due to lack of information about the exact use of technology or processes by third parties. Also, we cannot be sure that any patents will be granted in a timely manner or at all with respect to any of our patent pending applications or that any patents that are granted will be adequate to protect our intellectual property for any significant period of time or at all.</w:t>
      </w:r>
    </w:p>
    <w:p>
      <w:pPr>
        <w:spacing w:after="0" w:line="6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Litigation to establish or challenge the validity of patents, or to defend against or assert against others infringement, unauthorized use, enforceability or invalidity claims, can be lengthy and expensive and may result in our patents being invalidated or interpreted narrowly and our not being granted new patents related to our pending patent applications. Even if we prevail, litigation may be time-consuming and force us to incur significant costs, and any damages or other remedies awarded to us may not be valuable and management’s attention could be diverted from managing our business. In addition, U.S. patents and patent applications may be subject to interference proceedings, and U.S. patents may be subject to re-examination proceedings in the U.S. Patent and Trademark Office. Foreign patents may also be subject to opposition or comparable proceedings in the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seek to protect our trade secrets, know-how and confidential information that is not patentable by entering into confidentiality and invention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and is using our trade secrets is expensive and time consuming, and the outcome is unpredictable.</w:t>
      </w:r>
    </w:p>
    <w:p>
      <w:pPr>
        <w:spacing w:after="0" w:line="3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also have taken precautions to initiate reasonable safeguards to protect our information technology systems. However, these measures may not be adequate to safeguard our proprietary intellectual property, which could lead to the loss or impairment of our intellectual property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unauthorized use of our intellectual property may have occurred, or may occur in the future, without our knowledge.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are unable to obtain or maintain adequate protection for intellectual property, or if any protection is reduced or eliminated, competitors may be able to use our technologies, resulting in harm to our competitive position.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and proprietary technology and processes may not provide us with a competitive advantage.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Robotics and exoskeleton technologies have been developing rapidly in recent years. We are aware of several other companies developing competing exoskeleton devices for individuals with limited mobility and we expect the level of competition and the pace of development in our industry to increase. See “Business—Competition.” While we believe our tilt-sensor technology provides a more natural and superior method of exoskeleton activation, which creates a better user experience, a variety of other activation and control methods exist for exoskeletons, several of which are being developed by our competitors, or may be developed in the future. As a result, our patent portfolio and proprietary technology and processes may not provide us with a significant advantage over our competitors, and competitors may be able to design and sell alternative products that are equal to or superior to our products without infringing on our patents. In addition, our current patents will expire and we may be unable to adequately develop new technologies and obtain future patent protection to preserve our competitive advantage. If we are unable to maintain a competitive advantage, our business and results of operations may be materially adversely affected.</w:t>
      </w:r>
    </w:p>
    <w:p>
      <w:pPr>
        <w:spacing w:after="0" w:line="3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Even in instances where others are found to infringe on our patents, many countries have laws under which a patent owner may be compelled to grant licenses for the use of the patented technology to other parties. In addition, many countries limit the enforceability of patents against other parties, including government agencies or government contractors. In these countries, a patent owner may have limited remedies, which could diminish the value of a patent. Further, the laws of some countries do not protect intellectual property rights to the same extent as the laws of the United States, particularly in the field of medical products and effective enforcement in those countries may not be available. The ability of others to market comparable products could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in all countries.</w:t>
      </w:r>
    </w:p>
    <w:p>
      <w:pPr>
        <w:spacing w:after="0" w:line="90"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5"/>
          <w:szCs w:val="15"/>
          <w:color w:val="auto"/>
        </w:rPr>
        <w:t>Filing, prosecuting, maintaining and defending patents on each of our products in all countries throughout the world would be prohibitively expensive, and our intellectual property rights in some countries outside the United States are less extensive than those in the United States. In addition, the laws of some foreign countries, especially developing countries,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we have not obtained patent protection to develop, market or otherwise commercialize their own products, and we may be unable to prevent those competitors from importing those infringing products into territories where we have patent protection, but enforcement is not as strong as in the United States. These products may compete with our products and our patents and other intellectual property rights may not be effective or sufficient to prevent them from competing in those jurisdictions. Moreover, competitors or others in the chain of commerce may raise legal challenges against our intellectual property rights or may infringe upon our intellectual property rights, including through means that may be difficult to prevent or detect.</w:t>
      </w:r>
    </w:p>
    <w:p>
      <w:pPr>
        <w:spacing w:after="0" w:line="4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current and future products.</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medical device industry is characterized by competing intellectual property and a substantial amount of litigation over patent rights. In particular, our competitors in both the United States and abroad, many of which have substantially greater resources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Determining whether a product infringes a patent involves complex legal and factual issues and the outcome of patent litigation is often uncertain. Even though we have conducted research of issued patents,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may result in issued patents which our current or future products infringe. Also, because the claims of published patent applications can change between publication and parent grant, there may be published applications that may issue with claims that we infringe.</w:t>
      </w:r>
    </w:p>
    <w:p>
      <w:pPr>
        <w:spacing w:after="0" w:line="3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Infringement actions and other intellectual property claims brought against us,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products that infringe, unless we could obtain a license to use the technology or processes covered by such patents or could redesign our products so that they do not infringe. A license may be available on commercially reasonable terms or at all, and we may not be able to redesign our products to avoid infringement. Further, any modification to our products could require us to conduct clinical trials and revise our filings with the FDA and other regulatory bodies, which would be time consuming and expensive. In these circumstances, we may not be able to sell our products at competitive prices or at all, and our business and operating results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trademark protection to distinguish our products from the products of our competitors.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rely on trademark protection to distinguish our products from the products of our competitors. We have registered the trademark “ReWalk” in Israel and are in the process of registering our trademark in the United States. In jurisdictions where we have not registered our trademark and are using it, and as permitted by applicable local law, we rely on common law trademark protection. Third-parties may oppose our trademark applications, or otherwise challenge our use of the trademarks, and may be able to use our trademarks in jurisdictions where they are not registered or otherwise protected by law. If our trademarks are successfully challenged or if a third party is using confusingly similar or identical trademarks in particular jurisdictions before we do, we could be forced to rebrand our products, which could result in loss of brand recognition, and could require us to devote additional resources to marketing new brands. If others are able to use our trademarks, our ability to distinguish our products may be impaired, which could adversely affect our business. Further, we cannot assure you that competitors will not infringe upon our trademarks, or that we will have adequate resources to enforce our trademarks.</w:t>
      </w:r>
    </w:p>
    <w:p>
      <w:pPr>
        <w:spacing w:after="0" w:line="19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our employees or we have wrongfully used or disclosed alleged trade secrets of their former employers.</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Many of our employees were previously employed at other medical device companies, including our competitors or potential competitors, and we may hire employees in the future that are so employed. We could in the future be subject to claims that these employees, or we, have inadvertently or otherwise used or disclosed trade secrets or other proprietary information of their former employers. If we fail in defending against such claims,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court could order us to pay substantial damages and prohibit us from using technologies or features that are found to incorporate or be derived from the trade secrets or other proprietary information of the former employers. If any of these technologies or features that are important to our products, this could prevent us from selling those products and could have a material adverse effect on our business. Even if we are successful in defending against these claims, such litigation could result in substantial costs and divert the attention of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90"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26"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growth rate or results of operations or those of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acceptance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 commercial relationships, acquisitions or expansion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other material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 applicable to us and our products;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or the anticipation of sales, of our ordinary shares by us, our insiders or other shareholders, including upon expiration of contractual lock-up agreements;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existing or new technologies and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ordinary shares, and an active trading market may not develop.</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ordinary shares. An active trading market may not develop following completion of this offering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do not meet the expectations of equity research analysts, if they do not publish research or reports about our business or if they issue unfavorable commentary or downgrade our ordinary shares, the price of our ordinary shares could decline.</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trading market for our ordinary shares will rely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our share price could decline. Moreover, the price of our ordinary shares could decline if one or more securities analysts downgrade our ordinary shares or if those analysts issue other unfavorable commentary or do not publish research or reports about us or our business.</w:t>
      </w:r>
    </w:p>
    <w:p>
      <w:pPr>
        <w:spacing w:after="0" w:line="22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Following the closing of this offering, a small number of our shareholders will have a controlling influence over matters requiring shareholder approval, which could delay or prevent a change of control.</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Following the closing of this offering, the largest beneficial owners of our shares, entities affiliated with SCP Vitalife Partners, Yaskawa Electric Corporation, Israeli Health Care Ventures II, L.P. and entities affiliated with Pontifax (Cayman) II, L.P., will beneficially own in the aggregate 48.3% of our ordinary shares, or 46.3% if the underwriters exercise in full their option to purchase additional ordinary shares. As a result, these shareholders, should they chose to act together or and even if they act individually, will exert significant influence over our operations and business strategy and would together have sufficient voting power to control the outcome of matters requiring shareholder approval. These matters may include:</w:t>
      </w:r>
    </w:p>
    <w:p>
      <w:pPr>
        <w:spacing w:after="0" w:line="35"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amending our articles of association, which govern the rights attached to our ordinary shares.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221"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Global Market requirements, which may result in less protection than is accorded to investors under rules applicable to domestic U.S. issuers.</w:t>
      </w:r>
    </w:p>
    <w:p>
      <w:pPr>
        <w:ind w:firstLine="456"/>
        <w:spacing w:after="0" w:line="286" w:lineRule="auto"/>
        <w:rPr>
          <w:sz w:val="20"/>
          <w:szCs w:val="20"/>
          <w:color w:val="auto"/>
        </w:rPr>
      </w:pPr>
      <w:r>
        <w:rPr>
          <w:rFonts w:ascii="Arial" w:cs="Arial" w:eastAsia="Arial" w:hAnsi="Arial"/>
          <w:sz w:val="16"/>
          <w:szCs w:val="16"/>
          <w:color w:val="auto"/>
        </w:rPr>
        <w:t xml:space="preserve">As a foreign private issuer, we will be permitted, and intend, to follow certain home country corporate governance practices instead of those otherwise required under the applicable rules of the Nasdaq Global Market for domestic U.S. issuers. For instance, we intend to follow home country practice in Israel with regard to the quorum requirement for shareholder meetings. As permitted under the Israeli Companies Law, our articles of association will provide that the quorum for any meeting of shareholders shall be the presence of at least two shareholders present in person, by proxy or by a voting instrument, who hold at least 25% of the voting power of our shares, instead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issued share capital as required under the applicable rules of the Nasdaq Global Market. We may in the future elect to follow home country practices in Israel with regard to other matters, including the formation and composition of compensation and nominating and corporate governance committees, separate executive sessions of independent directors and non-management directors and the requirement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shares or assets of another company). Following our home country governance practices as opposed to the requirements that would otherwise apply to a U.S. company listed on the Nasdaq Global Market may provide less protection to you than what is accorded to investors under the applicable rules of the Nasdaq Global Market applicable to domestic U.S. issuers.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foreign private issuer, we will not be subject to U.S. proxy rules and will be exempt from filing certain Exchange Act reports.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foreign private issuer, we will be exempt from a number of requirements under U.S. securities laws that apply to public companies that are not foreign private issuers. In particular, we will be exempt from the rules and regulations under the United States Securities Exchange Act of 1934, as amended, or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Also, although a recent amendment to the Israeli Companies Law will require us to disclose the annual compensation of our five most highly compensated senior officers on an individual basis (rather than on an aggregate basis, as was permitted under the Israeli Companies Law for Israeli public companies listed overseas, such as in the United States, prior to such amendment), this disclosure will not be as extensive as that required of a U.S. domestic issuer. For example, it currently appears as if the disclosure required under Israeli law would be limited to compensation paid in the immediately preceding year without any requirement to disclose option exercises and vested stock options, pension benefits or potential payments upon termination or a change of control.</w:t>
      </w:r>
    </w:p>
    <w:p>
      <w:pPr>
        <w:spacing w:after="0" w:line="4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Even though we intend to comply voluntarily with Regulation FD, these exemptions and leniencies will reduce the protections and the frequency and scope of information which you would be entitled if we were not a foreign private issuer.</w:t>
      </w:r>
    </w:p>
    <w:p>
      <w:pPr>
        <w:spacing w:after="0" w:line="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We would also be required to follow U.S. proxy disclosure requirements in regard to the extent of disclosure of annual compensation of our five most highly compensated senior officers required.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good governance practices associated with U.S. domestic issuers. Such conversion and modifications will involve additional costs. In addition, we may lose our ability to rely upon exemptions from certain corporate governance requirements on U.S. stock exchanges that are available to foreign private issuers.</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whether the reduced requirements applicable to emerging growth companies will make our ordinary shares less attractive to investors.</w:t>
      </w:r>
    </w:p>
    <w:p>
      <w:pPr>
        <w:spacing w:after="0" w:line="51"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As a result,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of 2002, or the Sarbanes-Oxley Act, for up to five fiscal years after the date of this offering. We will remain an emerging growth company until the earliest of:</w:t>
      </w:r>
    </w:p>
    <w:p>
      <w:pPr>
        <w:spacing w:after="0" w:line="2" w:lineRule="exact"/>
        <w:rPr>
          <w:sz w:val="20"/>
          <w:szCs w:val="20"/>
          <w:color w:val="auto"/>
        </w:rPr>
      </w:pPr>
    </w:p>
    <w:p>
      <w:pPr>
        <w:ind w:right="300" w:firstLine="8"/>
        <w:spacing w:after="0" w:line="323" w:lineRule="auto"/>
        <w:tabs>
          <w:tab w:leader="none" w:pos="2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After this offering, there will be 11,517,356 of our ordinary shares outstanding, or 12,019,856 ordinary shares if the underwriters exercise in full their option to purchase additional shares. Sales by us or our shareholders of a substantial number of ordinary shares in the public market following this offering, or the perception that these sales might occur, could cause the market price of our ordinary shares to decline or could impair our ability to raise capital through a future sale of, or pay for acquisitions using, our equity securities. Of our issued and outstanding shares, all the ordinary shares sold in this offering will be freely transferable, except for any shares acquired by our “affiliates,” as that term is defined in Rule 144 under the U.S. Securities Act of 1933, as amended, or the Securities Act. Following completion of this offering, 44.6% of our outstanding ordinary shares (or 42.8% if the underwriters exercise in full their option to purchase additional ordinary shares) will be considered restricted shares and will be held by our affiliates. Such securities can be resold into the public markets in the future in accordance with the requirements of Rule 144, including volume limitations, manner of sale requirements and notice requirements. See “Shares Eligible for Future Sale.”</w:t>
      </w:r>
    </w:p>
    <w:p>
      <w:pPr>
        <w:spacing w:after="0" w:line="3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our executive officers and directors, and the current holders of substantially all of our outstanding ordinary shares and vested options, have agreed with the underwriters that, subject to limited exceptions, for a period of 180 days after the date of this prospectus,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the designated representatives of the underwriters, who may, in their sole discretion and at any time without notice, release all or any portion of the shares subject to these lock-up agreements.</w:t>
      </w:r>
    </w:p>
    <w:p>
      <w:pPr>
        <w:spacing w:after="0" w:line="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time following the closing of this offering, subject, however, to the 180-day lock-up agreement entered into with the underwriters, the beneficial owners of up to 9,039,024 of our ordinary shares are entitled to require that we register their shares under the Securities Act for resale into the public markets. All shares sold pursuant to an offering covered by such registration statement will be freely transferable. See “Certain Relationships and Related Party Transactions— Amended and Restated Shareholders’ Rights Agreement.”</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August 19, 2014, we had outstanding options to purchase 1,115,640 shares under our share option plans and had an additional 281,106 shares available for future grants under our option plans. Following this offering, we intend to file a registration statement on Form S-8 under the Securities Act registering the shares under our share option plans. Shares included in such registration statement will be available for sale in the public market immediately after such filing, subject to vesting provisions, except for shares held by affiliates who will have certain restrictions on their ability to sell. Shares registered on the Form S-8 will not be subject to the lock-up agreements described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characterized as a passive foreign investment company.</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Passive income for this purpose generally includes, among other things, certain dividends, interest, royalties, rents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Our status as a PFIC may also depend on how quickly we use the cash proceeds from this offering in our business. Based on certain estimates of our gross income and assets, our intended use of proceeds of this offering, and the nature of our business, we do not expect that we will be classified as a PFIC for the taxable year ending December 31, 2014. However, because PFIC status is based on our income, assets and activities for the entire taxable year, it is not possible to determine whether we will be characterized as a PFIC for the 2014 taxable year until after the end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 capital gain, the loss of the preferential rate applicable to dividends received on our ordinary shares by individuals who are U.S. Holders (as defined in “Material U.S. and Israeli Tax Consequences for our Shareholders—Material U.S.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 See “Material U.S. and Israeli Tax Consequences for our Shareholders—Material U.S. Federal Income Tax Consequences—Passive Foreign Investment Company Considerations.”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will experience immediate and substantial dilution in the net tangible book value of the ordinary shares you purchase in this offering.</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initial public offering price of our ordinary shares substantially exceeds the net tangible book value per share of our ordinary shares immediately after this offering. Therefore, if you purchase our ordinary shares in this offering, you will suffer, as of June 30, 2014, immediate dilution of $10.34 per ordinary share or $9.90 per ordinary share if the underwriters exercise in full their option to purchase additional ordinary shares, in net tangible book value after giving effect to this offering at an assumed public offering price of $15.00 per ordinary share, the midpoint of the estimated initial public offering price range set forth on the cover page of this prospectus, less underwriting discounts and commissions and the estimated expenses payable by us. If outstanding warrants or options to purchase our ordinary shares are exercised in the future, you will experience additional dilution. See “Dilution.”</w:t>
      </w:r>
    </w:p>
    <w:p>
      <w:pPr>
        <w:spacing w:after="0" w:line="20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 in this offering and may not apply the proceeds in ways that increase the value of your investment.</w:t>
      </w:r>
    </w:p>
    <w:p>
      <w:pPr>
        <w:spacing w:after="0" w:line="51" w:lineRule="exact"/>
        <w:rPr>
          <w:sz w:val="20"/>
          <w:szCs w:val="20"/>
          <w:color w:val="auto"/>
        </w:rPr>
      </w:pPr>
    </w:p>
    <w:p>
      <w:pPr>
        <w:ind w:right="520" w:firstLine="456"/>
        <w:spacing w:after="0" w:line="335"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as a result, you will have to rely upon the judgment of our management with respect to the use of these proceeds. Our management may spend a portion or all of the net proceeds in ways that not all shareholders approve of or that may not yield a favorable return. The failure by our management to apply these funds effectively could harm our business.</w:t>
      </w:r>
    </w:p>
    <w:p>
      <w:pPr>
        <w:spacing w:after="0" w:line="16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management and independent auditors.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Incorporation and Location in Israel</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technology development and quality headquarters and the manufacturing facility for our products are located in Israel and, therefore, our results may be adversely affected by economic restrictions imposed on, and political and military instability in, Israel.</w:t>
      </w:r>
    </w:p>
    <w:p>
      <w:pPr>
        <w:spacing w:after="0" w:line="5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technology development and quality headquarters, which houses substantially all of our research and development and our core research and development team, including engineers, machinists, researchers, and clinical and regulatory personnel, as well as the facility of our contract manufacturer, Sanmina, are located in Israel. Many of our employees, directors and officers are residents of Israel. Accordingly, political, economic and military conditions in Israel and the surrounding region may directly affect our business. Since the establishment of the State of Israel in 1948, a number of armed conflicts have taken place between Israel and its Arab neighbors, Hamas (an Islamist militia and political group in the Gaza Strip) and Hezbollah (an Islamist militia and political group in Lebanon). Any hostilities involving Israel or the interruption or curtailment of trade within Israel or between Israel and its trading partners could materially and adversely affect our business, financial condition and results of operations and could make it more difficult for us to raise capital. In particular, an interruption of operations at the Tel Aviv airport related to the conflict in the Gaza Strip or otherwise could prevent or delay shipments of our components or products. Although we maintain inventory in the United States and Germany, an extended interruption could materially and adversely affect our business, financial condition and results of operations. Recent political uprisings, social unrest and violence in various countries in the Middle East and North Africa, including Israel’s neighbors Egypt and Syria, are affecting the political stability of those countries. This instability may lead to deterioration of the political relationships that exist between Israel and these countries and have raised concerns regarding security in the region and the potential for armed conflict. Our commercial insurance does not cover losses that may occur as a result of an event associated with the security situation in the Middle East. Any losses or damages incurred by us could have a material adverse effect on our business. In addition, Iran has threatened to attack Israel and is widely believed to be developing nuclear weapons. Iran is also believed to have a strong influence among parties hostile to Israel in areas that neighbor Israel, such as the Syrian government, Hamas in Gaza and Hezbollah in Lebanon. Any armed conflicts, terrorist activities or political instability in the region could materially and adversely affect our business, financial condition and results of operations.</w:t>
      </w:r>
    </w:p>
    <w:p>
      <w:pPr>
        <w:spacing w:after="0" w:line="20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operations and the operations of our contract manufacturer, Sanmina, may be disrupted as a result of the obligation of Israeli citizens to perform military service.</w:t>
      </w:r>
    </w:p>
    <w:p>
      <w:pPr>
        <w:spacing w:after="0" w:line="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Many Israeli citizens are obligated to perform one month, and in some cases more, of annual military reserve duty until they reach the age of 45 (or older, for reservists with certain occupations) and, in the event of a military conflict, may be called to active duty. In response to terrorist activity, there have been periods of significant call-ups of military reservists. For example, the Israeli armed forces called up a significant number of reservists to active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duty in connection with the recent conflict in the Gaza Strip. It is possible that there will be additional military reserve duty call-ups in the future in connection with this conflict or otherwise. Although these call-ups have not had a material impact on our operations or on Sanmina’s ability to manufacture our products, our operations and the operations of Sanmina could be disrupted by such call-ups.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may be adversely affected by boycotts of Israel.</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products.</w:t>
      </w:r>
    </w:p>
    <w:p>
      <w:pPr>
        <w:spacing w:after="0" w:line="22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tax benefits that are available to us require us to continue to meet various conditions and may be terminated or reduced in the future, which could increase our costs and taxes.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Some of our operations in Israel, referred to as “Beneficiary Enterprises,” carry certain tax benefits under the Israeli Law for the Encouragement of Capital Investments, 5719-1959, or the Investment Law. Substantially all of our future income before taxes can be attributed to these programs. If we do not meet the requirements for maintaining these benefits or if our assumptions regarding the key elements affecting our tax rates are rejected by the tax authorities, they may be reduced or cancelled and the relevant operations would be subject to Israeli corporate tax at the standard rate, which is currently set at 26.5% for 2014 and thereafter. In addition to being subject to the standard corporate tax rate, we could be required to refund any tax benefits that we may receive in the future,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Israeli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 programs. See “Taxation and Israeli Government Programs Applicable to our Company—Law for the Encouragement of Capital Investments, 5719-1959” for additional information concerning these tax benefits and Note 13 to our consolidated financial statements for a discussion of our current tax obligations.</w:t>
      </w:r>
    </w:p>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have received Israeli government grants for certain of our research and development activities and we may receive additional grants in the future. The terms of those grants restrict our ability to manufacture products or transfer technologies outside of Israel, and we may be required to pay penalties in such cases or upon the sale of our company.</w:t>
      </w:r>
    </w:p>
    <w:p>
      <w:pPr>
        <w:spacing w:after="0" w:line="5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From our inception through December 31, 2013, we received a total of $0.45 million from the Office of the Chief Scientist in the Israel Ministry of Economy, or OCS. We have applied to receive additional grants to support our research and development activities in 2014. With respect to such grants we are committed to pay royalties at a rate of 3% to 3.5% on sales proceeds up to the total amount of grants received, linked to the dollar and bearing interest at an annual rate of LIBOR applicable to dollar deposits. Even after payment in full of these amounts, we will still be required to comply with the requirements of the Israeli Encouragement of Industrial Research and Development Law, 1984, or the R&amp;D Law, and related regulations, with respect to those past grants.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 how or manufacturing or manufacturing rights related to those aspects of such technologies. Furthermore, the OCS may impose certain conditions on any arrangement under which it permits us to transfer technology or development out of Israel or may not grant such approvals at 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transfer of OCS-supported technology or know-how outside of Israel may involve the payment of significant amounts to the OCS,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development or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and recent decisions by the Israeli Supreme Court and the Israeli Compensation and Royalties Committee, a body constituted under the Patent Law, employees may be entitled to remuneration for intellectual property that they develop for us unless they explicitly waive any such rights. Although we enter into agreements with our employees pursuant to which they agree that any inventions created in the scope of their employment or engagement are owned exclusively by us, we may face claims demanding remuneration. As a consequence of such claims, we could be required to pay additional remuneration or royalties to our current and former employees, or be forced to litigate such claims, which could negatively affect our business.</w:t>
      </w:r>
    </w:p>
    <w:p>
      <w:pPr>
        <w:spacing w:after="0" w:line="20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“Description of Share Capital— Acquisitions under Israeli Law” for additional information.</w:t>
      </w:r>
    </w:p>
    <w:p>
      <w:pPr>
        <w:spacing w:after="0" w:line="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articles of association provide that our directors (other than external directors) are elected on a staggered basis, such that a potential acquirer cannot readily replace our entire board of directors at a single annual general shareholder meeting. This could prevent a potential acquirer from receiving board approval for an acquisition proposal that our board of directors opposes.</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and other similar provisions could delay, prevent or impede an acquisition of us or our merger with another company, even if such an acquisition or merger would be beneficial to us or to our shareholders.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incorporated in Israel. The majority of our directors and executive officers,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2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 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62"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expectations regarding future growth, including our ability to increase sales in our existing geographic markets and to expand to new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and grow our reputation and the market acceptance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reimbursement from third-party payors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as to our clinical research program and clinical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improve our products and develop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adequate protection of our intellectual property and to avoid violation of the intellectual property rights of others;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gain and maintain regulatory approvals;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customers and develop relationships with new customers;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intended use of proceeds of this offering.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w:t>
      </w:r>
    </w:p>
    <w:p>
      <w:pPr>
        <w:spacing w:after="0" w:line="3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 will be approximately $44.3 million (or approximately $51.3 million if the underwriters exercise their option to purchase additional ordinary shares in full), assuming the shares are offered at $15.00 per ordinary share, which is the midpoint of the estimated offering price range set forth on the cover page of this prospectus.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$1.00 increase (decrease) in the assumed initial public offering price of $15.00 per ordinary share would increase (decrease) the net proceeds to us from this offering by approximately $3.1 million, assuming the number of shares offered by us as set forth on the cover page of this prospectus remains the same and after deducting the underwriting discounts and commissions. Similarly, each increase (decrease) of 100,000 shares in the number of ordinary shares offered by us would increase (decrease) the net proceeds to us from this offering by approximately $1.4 million, assuming that the assumed initial public offering price remains the same, and after deducting the underwriting discounts and commissions.</w:t>
      </w:r>
    </w:p>
    <w:p>
      <w:pPr>
        <w:spacing w:after="0" w:line="3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the net proceeds from this offering for general corporate purposes, including sales and marketing expenditures aimed at growing our business and research and development expenditures focused on product development. We expect that the net proceeds from this offering will be sufficient for us to expand our sales, marketing and training infrastructure and for our other current development activities, including adapting ReWalk for other indications and the development of our next generation of ReWalk. We may also use net proceeds from this offering to make acquisitions or investments in complementary companies or technologies, although we do not have any agreement or understanding with respect to any such acquisition or investment at this time. We do not currently have specific plans or commitments with respect to the net proceeds from this offering and, accordingly, are unable to quantify the allocation of such proceeds among the various potential uses. We will have broad discretion in the way that we use the net proceeds of this offering.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never declared or paid any cash dividends on our ordinary shares. We do not anticipate paying any cash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distribution of dividends may also be limited by Israeli law, which permits the distribution of dividends only out of retained earnings or otherwise upon the permission of an Israeli court.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94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jc w:val="right"/>
        <w:ind w:right="5000"/>
        <w:spacing w:after="0"/>
        <w:rPr>
          <w:sz w:val="20"/>
          <w:szCs w:val="20"/>
          <w:color w:val="auto"/>
        </w:rPr>
      </w:pPr>
      <w:r>
        <w:rPr>
          <w:rFonts w:ascii="Arial" w:cs="Arial" w:eastAsia="Arial" w:hAnsi="Arial"/>
          <w:sz w:val="16"/>
          <w:szCs w:val="16"/>
          <w:color w:val="auto"/>
        </w:rPr>
        <w:t>The following table sets forth our total capitalization as of June 30, 2014, as follows:</w:t>
      </w:r>
    </w:p>
    <w:p>
      <w:pPr>
        <w:spacing w:after="0" w:line="113"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780" w:right="200" w:hanging="326"/>
        <w:spacing w:after="0" w:line="255"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basis to give effect to (i) the conversion of all of our outstanding ordinary A shares, ordinary B shares and preferred shares as of June 30, 2014 into ordinary shares, which will occur immediately prior to the closing of this offering, (ii) the issuance of 198,900 ordinary shares in connection with the exercise prior to the closing of this offering of warrants held by certain shareholders and the receipt by us of $0.4 million from such exercise and (iii) the issuance of 326,034 ordinary shares to our founder, Dr. Amit Goffer. See “Certain Relationships and Related Party Transactions—Arrangements with Founder”; and</w:t>
      </w:r>
    </w:p>
    <w:p>
      <w:pPr>
        <w:spacing w:after="0" w:line="61"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the issuance and sale of 3,350,000 ordinary shares by us in this offering at an assumed initial public offering price of $15.00 per ordinary share after deducting underwriting discounts and commissions and estimated offering expenses payable by us.</w:t>
      </w:r>
    </w:p>
    <w:p>
      <w:pPr>
        <w:spacing w:after="0" w:line="5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As of June 30, 2014</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0" w:type="dxa"/>
            <w:vAlign w:val="bottom"/>
            <w:tcBorders>
              <w:top w:val="single" w:sz="8" w:color="auto"/>
            </w:tcBorders>
            <w:gridSpan w:val="8"/>
          </w:tcPr>
          <w:p>
            <w:pPr>
              <w:jc w:val="right"/>
              <w:ind w:right="717"/>
              <w:spacing w:after="0" w:line="142"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share warrant liability(1)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4,968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780" w:type="dxa"/>
            <w:vAlign w:val="bottom"/>
            <w:gridSpan w:val="2"/>
          </w:tcPr>
          <w:p>
            <w:pPr>
              <w:spacing w:after="0"/>
              <w:rPr>
                <w:sz w:val="20"/>
                <w:szCs w:val="20"/>
                <w:color w:val="auto"/>
              </w:rPr>
            </w:pPr>
            <w:r>
              <w:rPr>
                <w:rFonts w:ascii="Arial" w:cs="Arial" w:eastAsia="Arial" w:hAnsi="Arial"/>
                <w:sz w:val="18"/>
                <w:szCs w:val="18"/>
                <w:color w:val="auto"/>
              </w:rPr>
              <w:t>Ordinary shares, par value NIS 0.01 per share; 170,413,056 shares authorized,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actual and pro forma, 250,000,000 shares authorized, pro forma as adjusted;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187,776 shares issued and outstanding, actual; 6,680,322 shares issued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outstanding, pro forma; 10,030,322 shares issued and outstanding, pro forma as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adjusted(2)</w:t>
            </w:r>
          </w:p>
        </w:tc>
        <w:tc>
          <w:tcPr>
            <w:tcW w:w="14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 par value NIS 0.01 per share; 532,677 shares authorized, actual;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zero shares authorized, pro forma and pro forma as adjusted; 331,534 shares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issued and outstanding, actual; zero shares issued and outstanding, pro forma and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 forma as adjusted</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34,035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44,297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88,619</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(41,538)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(41,538)</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shareholders’ equity (deficiency)</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(2,612)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47,110</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2,778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15" w:lineRule="exact"/>
        <w:rPr>
          <w:sz w:val="20"/>
          <w:szCs w:val="20"/>
          <w:color w:val="auto"/>
        </w:rPr>
      </w:pPr>
    </w:p>
    <w:p>
      <w:pPr>
        <w:ind w:left="460" w:right="1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elimination of convertible preferred share warrant liability relates to the exercise of warrants to purchase convertible preferred shares upon the closing of this offering and the corresponding reclassification of such liability to additional paid-in capital.</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August 25, 2014, we effected an 18-for-1 share split by means of a share dividend of 17 ordinary shares for each ordinary share then outstanding.</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$1.00 increase (decrease) in the assumed initial public offering price of $15.00 per ordinary share, would increase (decrease) the pro forma as adjusted amount of each of cash and cash equivalents, additional paid-in capital, total shareholders’ equity and total capitalization by approximately $3.1 million, assuming that the number of ordinary shares offered by us, as set forth on the cover page of this prospectus, remains the same and after deducting underwriting discounts and commissions and estimated offering expenses payable by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table excludes the following securities:</w:t>
      </w:r>
    </w:p>
    <w:p>
      <w:pPr>
        <w:spacing w:after="0" w:line="90" w:lineRule="exact"/>
        <w:rPr>
          <w:sz w:val="20"/>
          <w:szCs w:val="20"/>
          <w:color w:val="auto"/>
        </w:rPr>
      </w:pPr>
    </w:p>
    <w:p>
      <w:pPr>
        <w:ind w:left="780" w:hanging="326"/>
        <w:spacing w:after="0" w:line="259"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Ordinary shares reserved for issuance under our equity incentive plans. As of August 19, 2014, we had 1,396,746 ordinary shares reserved for issuance under our equity incentive plans of which there were outstanding options to purchase 1,115,640 shares at a weighted average exercise price of $1.30 per share.</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75,695 Series E preferred shares (convertible into 1,362,510 ordinary shares) which were issued in July 2014.</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6,918 preferred shares issued on July 30, 2014 pursuant to the exercise of warrants. Such preferred shares will automatically convert into 124,524 ordinary shares upon the closing of this offering.</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Warrants to purchase 777,996 ordinary shares which will remain outstanding following the closing of this offering.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jc w:val="both"/>
        <w:ind w:right="200" w:firstLine="456"/>
        <w:spacing w:after="0" w:line="323" w:lineRule="auto"/>
        <w:rPr>
          <w:sz w:val="20"/>
          <w:szCs w:val="20"/>
          <w:color w:val="auto"/>
        </w:rPr>
      </w:pPr>
      <w:r>
        <w:rPr>
          <w:rFonts w:ascii="Arial" w:cs="Arial" w:eastAsia="Arial" w:hAnsi="Arial"/>
          <w:sz w:val="15"/>
          <w:szCs w:val="15"/>
          <w:color w:val="auto"/>
        </w:rPr>
        <w:t>If you invest in our ordinary shares in this offering, your ownership interest will be immediately diluted to the extent of the difference between the initial public offering price per share and the pro forma as adjusted net tangible book value per ordinary share after this offering. As of June 30, 2014, our net tangible book value per ordinary share was $7.75. Net tangible book value per ordinary share represents our total tangible assets (excluding deferred issuance costs) less our total liabilities (excluding deferred revenues and convertible preferred share warrant liability), divided by the number of ordinary shares outstanding.</w:t>
      </w:r>
    </w:p>
    <w:p>
      <w:pPr>
        <w:spacing w:after="0" w:line="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After giving effect to (i) the sale of ordinary shares that we are offering at an assumed initial public offering price of $15.00 per ordinary share and the deduction of underwriting discounts and commissions and estimated offering expenses payable by us, (ii) the exercise of warrants held by certain of our shareholders and the related issuance of 198,900 ordinary shares and the receipt by us of $0.4 million from such exercise, (iii) the conversion of all of our outstanding ordinary A shares, ordinary B shares and preferred shares, including the preferred shares issued upon the exercise of warrants, into ordinary shares and (iv) the issuance of 326,034 ordinary shares to our founder, Dr. Amit Goffer. See “Certain Relationships and Related Party Transactions—Arrangements with Founder”, our pro forma as adjusted net tangible book value as of June 30, 2014 would have been $4.66 per ordinary share. This amount represents an immediate increase in net tangible book value of $4.38 per ordinary share to our existing shareholders and immediate dilution in net tangible book value of $10.34 per ordinary share to new investors purchasing ordinary shares in this offering. We determine dilution by subtracting the pro forma as adjusted net tangible book value per ordinary share after this offering from the assumed price per ordinary share paid by an investor in this offering.</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w:t>
            </w: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4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2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tangible book value per ordinary share as of June 30, 2014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net tangible book value per ordinary share attributable to this offering</w:t>
            </w:r>
          </w:p>
        </w:tc>
        <w:tc>
          <w:tcPr>
            <w:tcW w:w="1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400"/>
              <w:spacing w:after="0"/>
              <w:rPr>
                <w:sz w:val="20"/>
                <w:szCs w:val="20"/>
                <w:color w:val="auto"/>
              </w:rPr>
            </w:pPr>
            <w:r>
              <w:rPr>
                <w:rFonts w:ascii="Arial" w:cs="Arial" w:eastAsia="Arial" w:hAnsi="Arial"/>
                <w:sz w:val="18"/>
                <w:szCs w:val="18"/>
                <w:color w:val="auto"/>
              </w:rPr>
              <w:t>Pro forma as adjusted net tangible book value per ordinary share after this offering</w:t>
            </w:r>
          </w:p>
        </w:tc>
        <w:tc>
          <w:tcPr>
            <w:tcW w:w="1880" w:type="dxa"/>
            <w:vAlign w:val="bottom"/>
            <w:gridSpan w:val="3"/>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 in this offering</w:t>
            </w:r>
          </w:p>
        </w:tc>
        <w:tc>
          <w:tcPr>
            <w:tcW w:w="2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summarizes, as of June 30, 2014, the differences between the number of ordinary shares purchased from us, the total consideration paid to us in cash and the average price per ordinary share paid by existing shareholders and by new investors in this offering. The calculation below is based on an assumed initial public offering price of $15.00 per ordinary share before deducting underwriting discounts and commissions and estimated offering expenses payable by us.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18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2440" w:type="dxa"/>
            <w:vAlign w:val="bottom"/>
            <w:gridSpan w:val="4"/>
            <w:vMerge w:val="restart"/>
          </w:tcPr>
          <w:p>
            <w:pPr>
              <w:jc w:val="right"/>
              <w:ind w:right="940"/>
              <w:spacing w:after="0"/>
              <w:rPr>
                <w:sz w:val="20"/>
                <w:szCs w:val="20"/>
                <w:color w:val="auto"/>
              </w:rPr>
            </w:pPr>
            <w:r>
              <w:rPr>
                <w:rFonts w:ascii="Arial" w:cs="Arial" w:eastAsia="Arial" w:hAnsi="Arial"/>
                <w:sz w:val="14"/>
                <w:szCs w:val="14"/>
                <w:b w:val="1"/>
                <w:bCs w:val="1"/>
                <w:color w:val="auto"/>
              </w:rPr>
              <w:t>Total Consideration</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Percent</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w:t>
            </w:r>
          </w:p>
        </w:tc>
        <w:tc>
          <w:tcPr>
            <w:tcW w:w="6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shareholders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6,680,322</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$32,997,981</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New investors</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3,350,000</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50,250,000</w:t>
            </w:r>
          </w:p>
        </w:tc>
        <w:tc>
          <w:tcPr>
            <w:tcW w:w="1540" w:type="dxa"/>
            <w:vAlign w:val="bottom"/>
            <w:gridSpan w:val="3"/>
          </w:tcPr>
          <w:p>
            <w:pPr>
              <w:jc w:val="right"/>
              <w:ind w:right="600"/>
              <w:spacing w:after="0"/>
              <w:rPr>
                <w:sz w:val="20"/>
                <w:szCs w:val="20"/>
                <w:color w:val="auto"/>
              </w:rPr>
            </w:pPr>
            <w:r>
              <w:rPr>
                <w:rFonts w:ascii="Arial" w:cs="Arial" w:eastAsia="Arial" w:hAnsi="Arial"/>
                <w:sz w:val="18"/>
                <w:szCs w:val="18"/>
                <w:color w:val="auto"/>
              </w:rPr>
              <w:t>60.4</w:t>
            </w: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10,030,322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83,247,981</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above discussion and the tables are based on 6,680,322 ordinary shares issued and outstanding as of June 30, 2014, assume the adjustments described above and exclude the following securities:</w:t>
      </w:r>
    </w:p>
    <w:p>
      <w:pPr>
        <w:spacing w:after="0" w:line="51" w:lineRule="exact"/>
        <w:rPr>
          <w:sz w:val="20"/>
          <w:szCs w:val="20"/>
          <w:color w:val="auto"/>
        </w:rPr>
      </w:pPr>
    </w:p>
    <w:p>
      <w:pPr>
        <w:ind w:left="780" w:right="2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Ordinary shares reserved for issuance under our equity incentive plans. As of August 19, 2014, we had 1,396,746 ordinary shares reserved for issuance under our equity incentive plans of which there were outstanding options to purchase 1,115,640 shares at a weighted average exercise price of $1.30 per share.</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75,695 Series E preferred shares (convertible into 1,362,510 ordinary shares) which were issued in July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6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6,918 preferred shares issued on July 30, 2014 pursuant to the exercise of warrants. Such preferred shares will automatically convert into 124,524 ordinary shares upon the closing of this offering.</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Warrants to purchase 777,996 ordinary shares which will remain outstanding following the closing of this offering.</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To the extent any of these outstanding options or warrants are exercised, there will be further dilution to new investors. To the extent options and warrants outstanding as of June 30, 2014 had been exercised as of that date, the as adjusted net tangible book value per ordinary share after this offering would be $4.38, and total dilution per ordinary share to new investors would be $10.62.</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discussion assumes no exercise of the underwriters’ option to purchase additional ordinary shares. If the underwriters exercise their option to purchase additional ordinary shares in full:</w:t>
      </w:r>
    </w:p>
    <w:p>
      <w:pPr>
        <w:spacing w:after="0" w:line="51" w:lineRule="exact"/>
        <w:rPr>
          <w:sz w:val="20"/>
          <w:szCs w:val="20"/>
          <w:color w:val="auto"/>
        </w:rPr>
      </w:pPr>
    </w:p>
    <w:p>
      <w:pPr>
        <w:ind w:left="780" w:right="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 forma as adjusted net tangible book value per ordinary share after this offering would be $5.10 per share, and the dilution per ordinary share to new investors in this offering would be $9.90 per share;</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ordinary shares held by existing shareholders will decrease to approximately 63.4% of the total number of our ordinary shares outstanding after this offering; and</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held by new investors will increase to 3,852,500, or approximately 36.6% of the total number of our ordinary shares outstanding after this offering.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selected consolidated financial data set forth below as of and for the years ended December 31, 2012 and 2013 is derived from our audited consolidated financial statements, which have been prepared in accordance with U.S. GAAP and are presented elsewhere in this prospectus. The selected consolidated financial data for the three months ended June 30, 2013 and 2014, and as of June 30, 2014, has been derived from our unaudited interim consolidated financial statements presented elsewhere in this prospectus. In the opinion of management, these unaudited interim consolidated financial statements include all adjustments, consisting of normal recurring adjustments, necessary for a fair statement of our financial position and operating results for these periods. Results for interim periods are not necessarily indicative of the results that may be expected for the entire year.</w:t>
      </w:r>
    </w:p>
    <w:p>
      <w:pPr>
        <w:spacing w:after="0" w:line="3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read the following selected consolidated financial data in conjunction with, and it is qualified in its entirety by reference to our consolidated financial statements and the related notes appearing elsewhere in this prospectus and other information provided in this prospectus, including “Management’s Discussion and Analysis of Financial Condition and Results of Operations.” The historical results set forth below are not necessarily indicative of the results to be expected in future periods.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8"/>
              </w:rPr>
              <w:t>Year Ended December 31,</w:t>
            </w:r>
          </w:p>
        </w:tc>
        <w:tc>
          <w:tcPr>
            <w:tcW w:w="220" w:type="dxa"/>
            <w:vAlign w:val="bottom"/>
          </w:tcPr>
          <w:p>
            <w:pPr>
              <w:spacing w:after="0"/>
              <w:rPr>
                <w:sz w:val="14"/>
                <w:szCs w:val="1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5"/>
          </w:tcPr>
          <w:p>
            <w:pPr>
              <w:jc w:val="right"/>
              <w:ind w:right="480"/>
              <w:spacing w:after="0" w:line="142" w:lineRule="exact"/>
              <w:rPr>
                <w:sz w:val="20"/>
                <w:szCs w:val="20"/>
                <w:color w:val="auto"/>
              </w:rPr>
            </w:pPr>
            <w:r>
              <w:rPr>
                <w:rFonts w:ascii="Arial" w:cs="Arial" w:eastAsia="Arial" w:hAnsi="Arial"/>
                <w:sz w:val="14"/>
                <w:szCs w:val="14"/>
                <w:color w:val="auto"/>
                <w:w w:val="86"/>
              </w:rPr>
              <w:t>(in thousands, except per share data)</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Revenues</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972</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1,588</w:t>
            </w:r>
          </w:p>
        </w:tc>
        <w:tc>
          <w:tcPr>
            <w:tcW w:w="5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797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Gross loss</w:t>
            </w: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2,463</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 net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8,745</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3,784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420"/>
              <w:spacing w:after="0"/>
              <w:rPr>
                <w:sz w:val="20"/>
                <w:szCs w:val="20"/>
                <w:color w:val="auto"/>
              </w:rPr>
            </w:pPr>
            <w:r>
              <w:rPr>
                <w:rFonts w:ascii="Arial" w:cs="Arial" w:eastAsia="Arial" w:hAnsi="Arial"/>
                <w:sz w:val="18"/>
                <w:szCs w:val="18"/>
                <w:color w:val="auto"/>
              </w:rPr>
              <w:t>Loss before income taxes</w:t>
            </w: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6,637</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12,155</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5,440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420"/>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6,658</w:t>
            </w:r>
          </w:p>
        </w:tc>
        <w:tc>
          <w:tcPr>
            <w:tcW w:w="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12,177</w:t>
            </w:r>
          </w:p>
        </w:tc>
        <w:tc>
          <w:tcPr>
            <w:tcW w:w="5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5,452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ordinary share, basic and diluted(1)</w:t>
            </w: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(74.53)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w w:val="90"/>
              </w:rPr>
              <w:t>Weighted average number of shares used in computing net loss per ordinary</w:t>
            </w: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share, basic and diluted</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185,688</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185,688</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185,688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187,398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ordinary share, basic and diluted(2)(3)</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w w:val="88"/>
              </w:rPr>
              <w:t>Pro forma weighted average number of shares used in computing net loss per</w:t>
            </w: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ordinary share, basic and diluted(2)</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4,349,664</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6,304,194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vMerge w:val="restart"/>
          </w:tcPr>
          <w:p>
            <w:pPr>
              <w:jc w:val="right"/>
              <w:ind w:right="19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80"/>
        </w:trPr>
        <w:tc>
          <w:tcPr>
            <w:tcW w:w="7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720" w:type="dxa"/>
            <w:vAlign w:val="bottom"/>
            <w:tcBorders>
              <w:bottom w:val="single" w:sz="8" w:color="auto"/>
            </w:tcBorders>
            <w:gridSpan w:val="2"/>
            <w:vMerge w:val="continue"/>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gridSpan w:val="2"/>
            <w:vMerge w:val="restart"/>
            <w:shd w:val="clear" w:color="auto" w:fill="CCEEFF"/>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48"/>
        </w:trPr>
        <w:tc>
          <w:tcPr>
            <w:tcW w:w="7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6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7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center"/>
              <w:ind w:right="20"/>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40" w:type="dxa"/>
            <w:vAlign w:val="bottom"/>
            <w:gridSpan w:val="3"/>
          </w:tcPr>
          <w:p>
            <w:pPr>
              <w:jc w:val="right"/>
              <w:ind w:right="460"/>
              <w:spacing w:after="0" w:line="155"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769</w:t>
            </w:r>
          </w:p>
        </w:tc>
        <w:tc>
          <w:tcPr>
            <w:tcW w:w="62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8,860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2,094</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Convertible preferred share warrant liability</w:t>
            </w:r>
          </w:p>
        </w:tc>
        <w:tc>
          <w:tcPr>
            <w:tcW w:w="200" w:type="dxa"/>
            <w:vAlign w:val="bottom"/>
          </w:tcPr>
          <w:p>
            <w:pPr>
              <w:spacing w:after="0"/>
              <w:rPr>
                <w:sz w:val="18"/>
                <w:szCs w:val="18"/>
                <w:color w:val="auto"/>
              </w:rPr>
            </w:pPr>
          </w:p>
        </w:tc>
        <w:tc>
          <w:tcPr>
            <w:tcW w:w="1100" w:type="dxa"/>
            <w:vAlign w:val="bottom"/>
          </w:tcPr>
          <w:p>
            <w:pPr>
              <w:jc w:val="right"/>
              <w:ind w:right="298"/>
              <w:spacing w:after="0"/>
              <w:rPr>
                <w:sz w:val="20"/>
                <w:szCs w:val="20"/>
                <w:color w:val="auto"/>
              </w:rPr>
            </w:pPr>
            <w:r>
              <w:rPr>
                <w:rFonts w:ascii="Arial" w:cs="Arial" w:eastAsia="Arial" w:hAnsi="Arial"/>
                <w:sz w:val="18"/>
                <w:szCs w:val="18"/>
                <w:color w:val="auto"/>
              </w:rPr>
              <w:t>2,168</w:t>
            </w:r>
          </w:p>
        </w:tc>
        <w:tc>
          <w:tcPr>
            <w:tcW w:w="6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3,341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(14,729)</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(36,647)</w:t>
            </w:r>
          </w:p>
        </w:tc>
        <w:tc>
          <w:tcPr>
            <w:tcW w:w="0" w:type="dxa"/>
            <w:vAlign w:val="bottom"/>
          </w:tcPr>
          <w:p>
            <w:pPr>
              <w:spacing w:after="0"/>
              <w:rPr>
                <w:sz w:val="1"/>
                <w:szCs w:val="1"/>
                <w:color w:val="auto"/>
              </w:rPr>
            </w:pP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Total shareholders’ equity (deficiency)</w:t>
            </w:r>
          </w:p>
        </w:tc>
        <w:tc>
          <w:tcPr>
            <w:tcW w:w="200" w:type="dxa"/>
            <w:vAlign w:val="bottom"/>
          </w:tcPr>
          <w:p>
            <w:pPr>
              <w:spacing w:after="0"/>
              <w:rPr>
                <w:sz w:val="19"/>
                <w:szCs w:val="19"/>
                <w:color w:val="auto"/>
              </w:rPr>
            </w:pPr>
          </w:p>
        </w:tc>
        <w:tc>
          <w:tcPr>
            <w:tcW w:w="1100" w:type="dxa"/>
            <w:vAlign w:val="bottom"/>
          </w:tcPr>
          <w:p>
            <w:pPr>
              <w:jc w:val="right"/>
              <w:ind w:right="238"/>
              <w:spacing w:after="0"/>
              <w:rPr>
                <w:sz w:val="20"/>
                <w:szCs w:val="20"/>
                <w:color w:val="auto"/>
              </w:rPr>
            </w:pPr>
            <w:r>
              <w:rPr>
                <w:rFonts w:ascii="Arial" w:cs="Arial" w:eastAsia="Arial" w:hAnsi="Arial"/>
                <w:sz w:val="18"/>
                <w:szCs w:val="18"/>
                <w:color w:val="auto"/>
              </w:rPr>
              <w:t>(2,264)</w:t>
            </w:r>
          </w:p>
        </w:tc>
        <w:tc>
          <w:tcPr>
            <w:tcW w:w="6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5,631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1" w:lineRule="exact"/>
        <w:rPr>
          <w:sz w:val="20"/>
          <w:szCs w:val="20"/>
          <w:color w:val="auto"/>
        </w:rPr>
      </w:pPr>
    </w:p>
    <w:p>
      <w:pPr>
        <w:ind w:left="460" w:hanging="452"/>
        <w:spacing w:after="0" w:line="253"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loss per ordinary share, basic and diluted, is calculated by dividing our net loss excluding dividends accrued on our convertible preferred shares outstanding during the period presented by the weighted average number of shares outstanding during the period presented. See Note 2u to our consolidated financial statements presented elsewhere in this prospectus.</w:t>
      </w:r>
    </w:p>
    <w:p>
      <w:pPr>
        <w:ind w:left="460" w:right="22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 forma net loss per ordinary share and pro forma weighted average number of shares outstanding assume the conversion of our preferred shares, including preferred shares issuable in connection with the exercise of warrants, into ordinary shares, which will occur immediately prior to the closing of this offering, but does not include the issuance of shares in connection with this offering. For additional information on the conversion of the preferred shares see Note 9 to our consolidated financial statements included elsewhere in this prospectus.</w:t>
      </w:r>
    </w:p>
    <w:p>
      <w:pPr>
        <w:spacing w:after="0" w:line="2" w:lineRule="exact"/>
        <w:rPr>
          <w:rFonts w:ascii="Arial" w:cs="Arial" w:eastAsia="Arial" w:hAnsi="Arial"/>
          <w:sz w:val="16"/>
          <w:szCs w:val="16"/>
          <w:color w:val="auto"/>
        </w:rPr>
      </w:pPr>
    </w:p>
    <w:p>
      <w:pPr>
        <w:ind w:left="460" w:right="28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 forma net loss per ordinary share, basic and diluted, assumes an adjustment to net loss in order to eliminate the revaluation expenses of our warrants liability. See Note 2e to our consolidated financial statements presented elsewhere in this prospectus.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Consolidated Financial Data” and our consolidated financial statements and the related notes included elsewhere in this prospectus. This discussion contains forward-looking statements that are based on our management’s current expectations, estimates and projections for our business, which are subject to a number of risks and uncertainties. Our actual results may differ materially from those anticipated in these forward-looking statements as a result of many factors, including those set forth under “Special Note Regarding Forward-Looking Statements” and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developed and are continuing to commercialize ReWalk, an exoskeleton that uses our patented tilt-sensor technology, and an on-board computer and motion sensors to drive motorized legs that power movement. We currently offer two products: ReWalk Personal and ReWalk Rehabilitation. ReWalk Personal is designed for everyday use by individuals at home and in their communities, and is custom-fit for each user. ReWalk Rehabilitation is designed for the clinical rehabilitation environment where it provides valuable exercise and therapy. It also enables individuals to evaluate their capacity for using ReWalk Personal in the future.</w:t>
      </w:r>
    </w:p>
    <w:p>
      <w:pPr>
        <w:spacing w:after="0" w:line="6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believe that the current design of ReWalk provides a functional technical base that can be easily adapted to address medical indications other than paraplegia that affect the ability to walk. We are currently engaged in research and development efforts to adapt ReWalk to address the mobility needs of quadriplegia and multiple sclerosis patients, and, in the future, we plan to address these needs in stroke and cerebral palsy patients. We are also developing our next generation of ReWalk, with a more efficient drive mechanism, slimmer profile and lighter body, as well as other improvements.</w:t>
      </w:r>
    </w:p>
    <w:p>
      <w:pPr>
        <w:spacing w:after="0" w:line="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2011, we launched ReWalk Rehabilitation for use in hospitals and rehabilitation centers in the United States and Europe. We began marketing ReWalk Personal in Europe with CE mark approval at the end of 2012 and received FDA clearance to market it in the United States in June 2014. As of August 1, 2014, we have placed 62 ReWalk Rehabilitation and 19 ReWalk Personal systems, 88% of which were purchased by our customers, and 12% of which were placed with clinics and distributors for training, market development and clinical testing.</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commercialization strategy is to penetrate rehabilitation centers, hospitals and similar facilities that treat patients with spinal cord injuries to become an integral part of their rehabilitation programs and to develop a broad based training network with these facilities to prepare users for home and community use. While the majority of our sales to date have been ReWalk Rehabilitation, the primary focus of our commercialization efforts going forward will be providing ReWalk Personal for routine use at home, work or in the community, and we expect sales of ReWalk Personal to account for the substantial majority of our revenues in the future.</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Reimbursement is an important factor in our ability to expand sales. We plan to pursue various pathways of reimbursement and funding, focusing our efforts on our two primary markets: the United States and Western Europe. We intend to continue to work with ReWalk users, health care practitioners, researchers, and the spinal cord injury community to support efforts to demonstrate to insurance companies and other payors the health benefits and the economic case for reimbursement of ReWalk Personal. For more information regarding reimbursement of our products, see “Business—Reimbursements and Other Funding Sources.”</w:t>
      </w:r>
    </w:p>
    <w:p>
      <w:pPr>
        <w:spacing w:after="0" w:line="6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growth of our business and our future success depend on our ability to increase our sales, which depends on many factors, including our ability to achieve reimbursement from third-party payors, demonstrate the medical benefits and cost savings of ReWalk through clinical data, introduce new products and address new indications and expand our sales force. While each of these areas presents significant opportunities for us, they also pose important challenges and risks that we must successfully address in order to sustain the growth of our business and improve our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incurred net losses and negative cash flows from operations since inception. We anticipate that we will continue to incur net losses and negative cash flows from operations for at least the next two years as we expand our production and sales and marketing capabilities, engage in additional clinical studies and continue to develop the infrastructure required to sell and market our products globally.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Statements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rely, and in the future will rely, on sales of our ReWalk systems and related service contracts and extended warranties for our revenue. Our revenue is generated from a combination of self-payors and third-party payors. To date, payments for our products have been made primarily by self-payors, through case-by-case determinations by third-party payors and by negotiating the cost of a ReWalk into accident settlements. Third-party payors include, without limitation, private insurance plans and managed care programs, government programs such as the Veterans’ Administration, Medicare and Medicaid and worker’s compensation. We expect that third-party payors will be an increasingly important source of revenue in the future. No uniform policy of coverage and reimbursement for exoskeleton medical technology currently exists among third-party payors in the United States or elsewhere.</w:t>
      </w:r>
    </w:p>
    <w:p>
      <w:pPr>
        <w:spacing w:after="0" w:line="3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ReWalk systems are covered by a two-year warranty from the date of purchase, which is included in the purchase price. We offer customers the ability to purchase, any time during the initial warranty period, an extended warranty for up to three additional years. Both warranties cover all elements of the ReWalk system, including the batteries, other than normal wear and tear.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number of ReWalk systems sold for the periods presented:</w:t>
      </w:r>
    </w:p>
    <w:p>
      <w:pPr>
        <w:spacing w:after="0" w:line="7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3920" w:type="dxa"/>
            <w:vAlign w:val="bottom"/>
          </w:tcPr>
          <w:p>
            <w:pPr>
              <w:spacing w:after="0"/>
              <w:rPr>
                <w:sz w:val="14"/>
                <w:szCs w:val="14"/>
                <w:color w:val="auto"/>
              </w:rPr>
            </w:pPr>
          </w:p>
        </w:tc>
        <w:tc>
          <w:tcPr>
            <w:tcW w:w="264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4"/>
                <w:szCs w:val="14"/>
                <w:color w:val="auto"/>
              </w:rPr>
            </w:pPr>
          </w:p>
        </w:tc>
        <w:tc>
          <w:tcPr>
            <w:tcW w:w="13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392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Pr>
          <w:p>
            <w:pPr>
              <w:spacing w:after="0"/>
              <w:rPr>
                <w:sz w:val="12"/>
                <w:szCs w:val="12"/>
                <w:color w:val="auto"/>
              </w:rPr>
            </w:pPr>
          </w:p>
        </w:tc>
        <w:tc>
          <w:tcPr>
            <w:tcW w:w="6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ReWalk Rehabilitation</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ReWalk Personal</w:t>
            </w: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4</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Prior to the first quarter of 2014, we manufactured our products in-house at our facility in Yokneam, Israel. For the years ended December 31, 2012 and 2013, our cost of revenues consisted primarily of raw materials, as well as salaries, personnel costs and share-based compensation associated with manufacturing, training and inspection personnel, utility and maintenance costs associated with the operation of our manufacturing facility, warranty obligations and shipping and handling. In July 2013, we entered into an agreement with Sanmina Corporation for the manufacture of all of our products. Beginning in the first quarter of 2014, Sanmina assumed production of all ReWalk systems. Beginning in July 2013, our cost of revenues also consisted of costs relating to the transfer of manufacturing to Sanmina and amounts paid to Sanmina pursuant to our contractual arrangement. For the six months ended June 30, 2014, our cost of revenues consisted primarily of systems purchased from Sanmina the cost of systems manufactured by us in 2013 and sold in the first half of 2014, as well as salaries, personnel costs and share-based compensation associated with manufacturing, expenses relating to the transition of our manufacturing activities to Sanmina, training and inspection personnel, warranty obligations and shipping and handling. Cost of revenues also includes royalties we must pay on royalty-bearing research and development grants.</w:t>
      </w:r>
    </w:p>
    <w:p>
      <w:pPr>
        <w:spacing w:after="0" w:line="4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the future, while our cost of revenues will increase as our sales volume increases, we expect our unit cost to decrease as our sales increase due to economies of scale realized in connection with larger quantities and increased efficiency.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 Net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Research and development expenses, net, consist primarily of salaries, related personnel costs and share-based compensation, costs of clinical trials and obtaining regulatory approvals and patent costs, sponsored research costs and other expenses related to our product development and research programs. We expense all research and development expenses as they are incurred. We believe that continued investment in research and development is crucial to attaining our strategic product objectives. We plan to continue increasing these expenditures, resulting in greater research and development expenses in future periods as we enhance our ReWalk system and pursue the development of new products.</w:t>
      </w:r>
    </w:p>
    <w:p>
      <w:pPr>
        <w:spacing w:after="0" w:line="3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Research and development expenses are presented net of the amount of any grants we receive for research and development in the period in which we receive the grant. We previously received grants and other funding from the BIRD Foundation and the OCS. Certain of those grants require us to pay royalties on sales of ReWalk systems, which are recorded as cost of revenues. See “—Grants and Other Funding.” We may receive additional funding from these entities or others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 Net</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sales and marketing expenses, net, consist primarily of salaries, related personnel costs and share-based compensation for our internal sales staff and costs related to marketing activities. Sales and marketing expenses are presented net of the amount of any grants we receive for sales and marketing in the period in which we receive the grant. We intend to continue to expand our sales and marketing activities and, therefore, expect sales and marketing expenses to increase significantly in the future. In general, we expect that the number of our sales representatives will increase as our revenues increase. See “—Grants and Other Funding.”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general and administrative expenses consist primarily of salaries, related personnel costs and share-based compensation for our administrative, finance, and general management personnel, as well as our legal and accounting consultants. We expect to incur increased general and administrative expenses as a result of becoming a public company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(Expenses), Net</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Financial income (expenses), net, consists of the revaluation of the fair value of warrants to purchase our preferred shares and expenses related to our convertible loans, as well as interest income and expense, foreign currency exchange gains or losses.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Warrants to purchase our convertible preferred shares are classified as a liability on our consolidated balance sheet at fair value. The warrants are subject to revaluation at each balance sheet date and any change in fair value is recognized as a component of financial income (expense), net, on our consolidated statements of operations. We will continue to adjust for changes in fair value until such warrants are exercised or expire. Immediately prior to the completion of this offering, all of such warrants will be exercised or will expire, and we will no longer record any liability in respect of them on our balance sheet or financial expenses in respect of them on our statement of operations.</w:t>
      </w:r>
    </w:p>
    <w:p>
      <w:pPr>
        <w:spacing w:after="0" w:line="62" w:lineRule="exact"/>
        <w:rPr>
          <w:sz w:val="20"/>
          <w:szCs w:val="20"/>
          <w:color w:val="auto"/>
        </w:rPr>
      </w:pPr>
    </w:p>
    <w:p>
      <w:pPr>
        <w:ind w:right="360" w:firstLine="456"/>
        <w:spacing w:after="0" w:line="323" w:lineRule="auto"/>
        <w:rPr>
          <w:sz w:val="20"/>
          <w:szCs w:val="20"/>
          <w:color w:val="auto"/>
        </w:rPr>
      </w:pPr>
      <w:r>
        <w:rPr>
          <w:rFonts w:ascii="Arial" w:cs="Arial" w:eastAsia="Arial" w:hAnsi="Arial"/>
          <w:sz w:val="15"/>
          <w:szCs w:val="15"/>
          <w:color w:val="auto"/>
        </w:rPr>
        <w:t>Interest income and expenses consist of interest earned on our cash and cash equivalent balances and interest accrued on and certain other costs with respect to any indebtedness. We expect interest income to vary depending on our average investment balances and market interest rates during each reporting period. Foreign currency exchange changes reflect gains or losses related to transactions denominated in currencies other than the U.S. dollar. As of the most recent reporting period, we did not have any indebtedness for borrowed amounts although we have had outstanding convertible loans in prior periods.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June 30, 2014, we had not yet generated taxable income in Israel. At the end of our last fiscal year, our net operating loss carry forwards for Israeli tax purposes amounted to approximately $22 million. After we utilize our net operating loss carry forwards, we are eligible for certain tax benefits in Israel under the Law for the Encouragement of Capital Investments, 1959. Our benefit period currently ends ten years after the year in which we first have taxable income in Israel provided that the benefit period will not extend beyond 2024. For more information about the tax benefits available to us as a Beneficiary Enterprise, see “Taxation and Israeli Government Programs Applicable.”</w:t>
      </w:r>
    </w:p>
    <w:p>
      <w:pPr>
        <w:spacing w:after="0" w:line="6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taxable income generated outside of Israel will be subject to the regular corporate tax rate in the applicable jurisdictions. As a result, our effective tax rate will be a function of the relative proportion of our taxable income that is generated in those locations compared to our overall net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and Other Funding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BIRD Foundation and AO&amp;P</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July 2009, we entered into a grant agreement with the BIRD Foundation and Allied Orthotics &amp; Prosthetics Inc. (“AO&amp;P”). AO&amp;P was the distributor of our products at the time. We received $0.5 million and AO&amp;P received $0.06 million. The agreement with the BIRD Foundation requires us to pay a royalty at a rate of 5% on sales of ReWalk systems and related services. The amount of repayment is equal to the amount of the grant being repaid multiplied by an increasing contractual percentage in an amount up to 150%.</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AO&amp;P is responsible for repayment of its grant. However, pursuant to the agreement, we are required to make any payments on which AO&amp;P defaults. As of December 31, 2013, the aggregate contingent liability to the BIRD Foundation amounted to $0.8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of the Chief Scientist</w:t>
      </w:r>
    </w:p>
    <w:p>
      <w:pPr>
        <w:spacing w:after="0" w:line="9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We have also received a total of $0.45 million in funding from the OCS, $0.05 million of which are royalty-bearing grants, while $0.4 million were received in consideration for an investment in our preferred shares. We have applied to receive additional grants to support our research and development activities in 2014. The agreements with OCS require us to pay royalties at a rate of 3% to 3.5% on sales of ReWalk systems and related services up to the total amount of funding received, linked to the dollar and bearing interest at an annual rate of LIBOR applicable to dollar deposits. If we transfer of OCS-supported technology or know-how outside of Israel, we will be liable for additional payments to OCS depending upon the value of the transferred technology or know-how, the amount of OCS support, the time of completion of the OCS-supported research project and other factors. As of December 31, 2013, the aggregate contingent liability to the OCS was nominal.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 for Promoting Overseas Marketing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also received a total of $0.1 million in funding from the Fund for Promoting Overseas Marketing under the Israeli Ministry of Economy, which are non-royalty-bearing grants, to support our marketing activities. We have applied to receive additional grants to support our marketing activities in 2014.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Expenses to be Recognized Upon Closing of this Offering</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accordance with our articles of association in effect prior to this offering and the Fourth Amended and Restated Shareholders Agreement to become effective prior to the consummation of this offering, immediately prior to the closing of this offering, our founder, Dr. Amit Goffer, has the right to receive for no consideration, shares or immediately exercisable options with cashless exercise in an amount such that the value of his interests equals 6% of our valuation. In respect of this right, Dr. Goffer will be granted 326,034 ordinary shares immediately prior to the closing of this offering. Assuming an initial public offering price of $15.00 per share,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mid-point of the initial public offering price range on the cover of this prospectus, as a result of this issuance, we expect to record estimated share-based compensation expense of $4.9 million in the quarter in which this offering closes.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if at the time of this offering or at any time thereafter, our valuation reaches an amount that is greater than $200 million, but less than $400 million (based on a third party transaction or our market capitalization), options to purchase 41,364 of our ordinary shares held by our chief executive officer will vest immediately. If at the time of this offering or at any time thereafter, our valuation reaches an amount that is greater than $400 million (based on a third party transaction or our market capitalization), options to purchase 41,364 additional ordinary shares held by our chief executive officer will vest immediately.</w:t>
      </w:r>
    </w:p>
    <w:p>
      <w:pPr>
        <w:spacing w:after="0" w:line="188" w:lineRule="exact"/>
        <w:rPr>
          <w:sz w:val="20"/>
          <w:szCs w:val="20"/>
          <w:color w:val="auto"/>
        </w:rPr>
      </w:pPr>
    </w:p>
    <w:p>
      <w:pPr>
        <w:ind w:right="5440"/>
        <w:spacing w:after="0" w:line="347" w:lineRule="auto"/>
        <w:rPr>
          <w:sz w:val="20"/>
          <w:szCs w:val="20"/>
          <w:color w:val="auto"/>
        </w:rPr>
      </w:pPr>
      <w:r>
        <w:rPr>
          <w:rFonts w:ascii="Arial" w:cs="Arial" w:eastAsia="Arial" w:hAnsi="Arial"/>
          <w:sz w:val="18"/>
          <w:szCs w:val="18"/>
          <w:b w:val="1"/>
          <w:bCs w:val="1"/>
          <w:color w:val="auto"/>
        </w:rPr>
        <w:t xml:space="preserve">Six Months Ended June 30, 2013 Compared to Six Months Ended June 30, 2014 </w:t>
      </w:r>
      <w:r>
        <w:rPr>
          <w:rFonts w:ascii="Arial" w:cs="Arial" w:eastAsia="Arial" w:hAnsi="Arial"/>
          <w:sz w:val="18"/>
          <w:szCs w:val="18"/>
          <w:b w:val="1"/>
          <w:bCs w:val="1"/>
          <w:i w:val="1"/>
          <w:iCs w:val="1"/>
          <w:color w:val="auto"/>
        </w:rPr>
        <w:t>Revenue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was $0.8 million for the six months ended June 30, 2013, compared to $0.9 million for the six months ended June 30, 2014, an increase of 19%.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attributable to a $0.1 million increase resulting from an additional three systems sold.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Cost of revenues were $1.1 million for the six months ended June 30, 2013, compared to $1.4 million for the six months ended June 30, 2014, an increase of 27%. This increase is due to an increase of $0.2 million in expenses relating to transitioning manufacturing to Sanmina and an increase of $0.1 million in salary expenses. The increase in total costs due to the number of units sold was partially offset by a decrease in the average cost per unit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Research and development expenses were $1.1 million for the six months ended June 30, 2013, compared to $2.2 million for the six months ended June 30, 2014, an increase of 103%. The increase in expenses is attributable to an increase of $0.6 million in salaries and non-cash related expenses due to the addition of research and development personnel and the reallocation of certain employees’ salaries and related expenses as research and development expenses, and an increase of $0.4 million related to subcontractors and materials purchased for research and development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 Net</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Sales and marketing expenses, net, were $1.6 million for the six months ended June 30, 2013, compared to $2.9 million for the six months ended June 30, 2014, an increase of 76%. This increase is primarily attributable to an increase of $1.0 million in salaries, cash and non-cash related expenses due to the addition of sales and marketing personnel, and an increase of $0.1 million relating to marketing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General and administrative expenses were $0.8 million for the six months ended June 30, 2013, compared to $1.4 million for the six months ended June 30, 2014, an increase of 73%. The increase in expenses is primarily attributable to an increase in cash and non-cash employee related expenses, and an increase in legal expenses, professional services and traveling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Financial expenses, net, were $1.7 million for the six months ended June 30, 2013, compared to $2.9 million for the six months ended June 30, 2014, an increase of 72%, primarily as a result of the revaluation of the fair value of our outstanding warrants.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Income taxes were $12,000 for the six months ended June 30, 2013 with respect to our income in the United States, compared to $32,000 for the six months ended June 30, 2014.</w:t>
      </w:r>
    </w:p>
    <w:p>
      <w:pPr>
        <w:spacing w:after="0" w:line="207" w:lineRule="exact"/>
        <w:rPr>
          <w:sz w:val="20"/>
          <w:szCs w:val="20"/>
          <w:color w:val="auto"/>
        </w:rPr>
      </w:pPr>
    </w:p>
    <w:p>
      <w:pPr>
        <w:ind w:right="5620"/>
        <w:spacing w:after="0" w:line="347" w:lineRule="auto"/>
        <w:rPr>
          <w:sz w:val="20"/>
          <w:szCs w:val="20"/>
          <w:color w:val="auto"/>
        </w:rPr>
      </w:pPr>
      <w:r>
        <w:rPr>
          <w:rFonts w:ascii="Arial" w:cs="Arial" w:eastAsia="Arial" w:hAnsi="Arial"/>
          <w:sz w:val="18"/>
          <w:szCs w:val="18"/>
          <w:b w:val="1"/>
          <w:bCs w:val="1"/>
          <w:color w:val="auto"/>
        </w:rPr>
        <w:t xml:space="preserve">Year Ended December 31, 2012 Compared to Year Ended December 31, 2013 </w:t>
      </w:r>
      <w:r>
        <w:rPr>
          <w:rFonts w:ascii="Arial" w:cs="Arial" w:eastAsia="Arial" w:hAnsi="Arial"/>
          <w:sz w:val="18"/>
          <w:szCs w:val="18"/>
          <w:b w:val="1"/>
          <w:bCs w:val="1"/>
          <w:i w:val="1"/>
          <w:iCs w:val="1"/>
          <w:color w:val="auto"/>
        </w:rPr>
        <w:t>Revenue</w:t>
      </w:r>
    </w:p>
    <w:p>
      <w:pPr>
        <w:spacing w:after="0" w:line="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Revenue was $1.0 million for the year ended December 31, 2012, compared to $1.6 million for the year ended December 31, 2013, an increase of 63%. This increase is attributable to increased sales of ReWalk Personal due to the commencement of sales of ReWalk Personal in Europe in December 2012 and increased sales of ReWalk Rehabilitation in both the United States and Europe in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Cost of revenues was $1.0 million for the year ended December 31, 2012, compared to $2.0 million for the year ended December 31, 2013, an increase of 105%. This increase is due to increases in the number of ReWalk systems sold, higher payroll and related expenses due to our increase in headcount and expenses relating to the transition of our manufacturing activities to Sanmina.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Research and development expenses were $1.8 million for the year ended December 31, 2012 compared to $2.5 million for the year ended December 31, 2013, an increase of 40%. The increase in expenses is attributable to increased payroll and related expenses due to our increase in headcount engaged in our research and development activities, as well as increased regulatory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 Net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Sales and marketing expenses, net, were $2.3 million for the year ended December 31, 2012, compared to $4.1 million for the year ended December 31, 2013, an increase of 75%. This increase is attributable to an increase in headcount engaged in sales and marketing activities, an increase in the number of demonstration ReWalk systems used for sales activities and increased attendance at trade shows, offset by a grant that we received for sales and marketing in the amount of $0.1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General and administrative expenses were $1.7 million for the year ended December 31, 2012, compared to $1.8 million for the year ended December 31, 2013, an increase of 6%. The increase in expenses is primarily attributable to increased professional services and office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Financial expenses, net, were $0.9 million for the year ended December 31, 2012, compared to $3.4 million for the year ended December 31, 2013, an increase of 288% primarily as a result of the revaluation of the fair value of warrants to purchase preferred shares and financial expenses related to convertible loans.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Income taxes were $21,000 for the year ended December 31, 2012 with respect to our income in the United States, compared to $22,000 for the year ended December 31, 2013.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inception, we have funded our operations primarily through the sale of equity securities and convertible notes to investors in private placements. Through June 30, 2014, we also received funding of $0.5 million from the BIRD Foundation and $0.45 million from the OCS. On June 19, 2014, we entered into a loan agreement with Kreos Capital IV (Expert Fund) Limited, or Kreos, pursuant to which Kreos agreed to extend a line of credit to us of $5.0 million. The line of credit is available for drawdown until September 30, 2014, with a minimum required drawdown of $1.0 million. Amounts drawn will be repaid in an amount of 3.3% per month for 36 months. Pursuant to the loan agreement, we must pay a transaction fee of 1.0% of the total amount of the line of credit upon both the execution and the expiration of the loan agreement. Pursuant to the loan agreement, we will grant to Kreos a security interest with respect to amounts drawn over all of our assets, including intellectual property and equity interests in our subsidiaries. In connection with this agreement, we granted Kreos warrants to purchase 5,372 preferred shares, or to the extent exercised after the closing of this offering, the same number of ordinary shares.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June 30, 2014, we had cash and cash equivalents of $0.9 million. In July 2014, we closed our series E financing round for an aggregate purchase price of $13.0 million, providing additional liquidity. See “Certain Relationships and Related Party Transactions—Series E Preferred Securities Purchase Agreement.” Based upon our current business plan, we believe that our current sources of liquidity will be sufficient to meet our anticipated cash needs for at least the next 12 months. Based upon our current business plan, we believe that the combination of the proceeds of this offering and our other current sources of liquidity will be sufficient to meet our anticipated cash needs for at least the next 24 months. The initial issuance of our independent registered public accountants’ report for the year ended December 31, 2013 included an explanatory paragraph that expressed substantial doubt about our ability to continue as a “going concern”. However, due to the completion of our series E financing round and the Kreos loan agreement, the conditions that raised substantial doubt about our ability to continue as a “going concern” no longer exist. See the report of our independent registered public accountants and Note 1e to our consolidated financial statements presented elsewhere in this prospectus.</w:t>
      </w:r>
    </w:p>
    <w:p>
      <w:pPr>
        <w:spacing w:after="0" w:line="3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primary current uses of cash are for sales and marketing and research and development activities. Our future cash requirements will depend on many factors, including our rate of revenue growth, the expansion of our sales and marketing activities, the timing and extent of our spending on research and development efforts and international expansion. If our current estimates of revenue, expenses or capital or liquidity requirements change or are inaccurate, we may seek to sell additional equity or debt securities, or arrange debt financing. We cannot be certain that additional funds will be available to us on favorable terms when required, or at all.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cash used in operating activities grew from $5.4 million in 2012 to $8.8 million in 2013 primarily as a result of an increase of $5.5 million in our net loss from 2012 to 2013. Our net losses in each of the periods were offset primarily by non-cash expenses and also by net changes in our working capital. Net cash used in operating activities was $3.9 million in the six months ended June 30, 2013 compared to $7.3 million in the six months ended June 30, 2014, primarily as a result of an increase of $4.3 million in our net losses, and an increase of $0.7 million related to net changes in our working capital from the first half of 2013 to the first half of 2014. The increases in each of the periods were offset by non-cash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Net cash used in investing activities was $0.2 million in each of the years ended December 31, 2012 and 2013. Net cash used in investing activities was $53,000 and $0.1 million in the six months ended June 30, 2013 and June 30, 2014, respectively. Investing activities in these periods consisted of purchases of property and equipment and, to a lesser extent, increases and decreases in long-term deposits.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financing activities have consisted of the issuance of convertible notes and the sale of preferred shares. In 2012 and 2013, we issued convertible notes in anticipation of new issuances of preferred shares. Upon our subsequent issuance of preferred shares to holders of the convertible notes and others, the convertible notes were converted into preferred shares. As of December 31, 2013, no convertible loans remain outstanding. Net cash provided by financing activities was $5.8 million and $17.1 million for the years ended December 31, 2012 and 2013, respectively. Net cash provided by financing activities was $7.0 million in the six months ended June 30, 2013, consisting primarily of the issuance of convertible loans, compared to net cash used in financing activities of $0.5 million for the six months ended June 30, 2014, consisting primarily of issuance costs related to this offering and our series E financing round.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December 31, 2013:</w:t>
      </w:r>
    </w:p>
    <w:p>
      <w:pPr>
        <w:spacing w:after="0" w:line="86"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Payment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0</wp:posOffset>
            </wp:positionV>
            <wp:extent cx="13036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9320"/>
        <w:spacing w:after="0"/>
        <w:tabs>
          <w:tab w:leader="none" w:pos="10140" w:val="left"/>
          <w:tab w:leader="none" w:pos="109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-6985</wp:posOffset>
            </wp:positionV>
            <wp:extent cx="1303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9880"/>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obligations(1)</w:t>
            </w:r>
          </w:p>
        </w:tc>
        <w:tc>
          <w:tcPr>
            <w:tcW w:w="4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$132</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future lease payments for our rented office facilities located in Yokneam Ilit, Israel, Marlborough, Massachusetts, and Berlin, Germany.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off-balance sheet arrangements or guarantees of third-party obligations during the periods presented.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consolidated financial statements are prepared in accordance with United States generally accepted accounting principles. The preparation of our financial statements requires us to make estimates, judgments and assumptions that can affect the reported amounts of assets and liabilities, disclosure of contingent assets and liabilities at the date of the financial statements and the reported amounts of revenues and expenses during the reporting period. We base our estimates, judgments and assumptions on historical experience and other factors that we believe to be reasonable under the circumstances. Materially different results can occur as circumstances change and additional information becomes known. Besides the estimates identified above that are considered critical, we make many other accounting estimates in preparing our financial statements and related disclosures. See Note 2 to our audited consolidated financial statements presented elsewhere in this prospectus for a description of the significant accounting policies that we used to prepare our consolidated financial statements. The critical accounting policies that were impacted by the estimates, judgments and assumptions used in the preparation of our consolidated financial statements are discussed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recognize revenues in accordance with ASC 605, “Revenue Recognition,” when delivery has occurred, persuasive evidence of an agreement exists, the fee is fixed and determinable, collectability is reasonably assured and no further obligations exist. Provisions are made at the time of revenue recognition for any applicable warranty cost expected to be incurred. The timing for revenue recognition among the various products and customers is dependent upon satisfaction of such criteria and generally varies from shipment to delivery to the customer depending on the specific shipping terms of a given transaction, as stipulated in the agreement with each customer. Other than pricing terms which may differ due to the different volumes of purchases between distributors and end-users, there are no material differences in the terms and arrangements involving direct and indirect customers. Our products sold through agreements with distributors are non-exchangeable, non-refundable, non-returnable and without any rights of price protection or stock rotation. Accordingly, we consider all the distributors as end-users. We do not grant a right of return for our products.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respect of sale of systems with training, we consider the elements in the arrangement to be a single unit of accounting. In accordance with ASC 605, we have concluded that the training is essential to the functionality of our systems. Therefore, we recognize revenue for the system and training only after delivery, in accordance with the agreement delivery terms, to the customer and after the training has been completed, once all other revenue recognition criteria have been met. In certain cases, when product arrangements are bundled with an extended warranty, the separation of the extended warranty falls under the scope of</w:t>
      </w:r>
    </w:p>
    <w:p>
      <w:pPr>
        <w:spacing w:after="0" w:line="3" w:lineRule="exact"/>
        <w:rPr>
          <w:sz w:val="20"/>
          <w:szCs w:val="20"/>
          <w:color w:val="auto"/>
        </w:rPr>
      </w:pPr>
    </w:p>
    <w:p>
      <w:pPr>
        <w:ind w:right="320"/>
        <w:spacing w:after="0" w:line="361" w:lineRule="auto"/>
        <w:rPr>
          <w:sz w:val="20"/>
          <w:szCs w:val="20"/>
          <w:color w:val="auto"/>
        </w:rPr>
      </w:pPr>
      <w:r>
        <w:rPr>
          <w:rFonts w:ascii="Arial" w:cs="Arial" w:eastAsia="Arial" w:hAnsi="Arial"/>
          <w:sz w:val="15"/>
          <w:szCs w:val="15"/>
          <w:color w:val="auto"/>
        </w:rPr>
        <w:t>ASC 605- 20-25-1 through 25-6, and the separate price of the extended warranty stated in the agreement is deferred and recognized ratably over the extended warranty period. Deferred revenue includes primarily unearned amounts received in respect of service contracts but not yet recognized as revenues.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Valuations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account for share-based compensation in accordance with ASC No. 718, “Compensation-Stock Compensation.” ASC No. 718 requires companies to estimate the fair value of equity-based payment awards on the date of grant using an Option-Pricing Model, or OPM. The value of the portion of the award that is ultimately expected to vest is recognized as an expense over the requisite service periods in our consolidated statements of operations.</w:t>
      </w:r>
    </w:p>
    <w:p>
      <w:pPr>
        <w:spacing w:after="0" w:line="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selected the Black-Scholes-Merton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determination of the grant date fair value of options using the Black-Scholes-Merton option pricing model is affected by estimates and assumptions regarding a number of complex and subjective variables. These variables include the expected volatility of our share price over the expected term of the options, share option exercise and cancellation behaviors, risk-free interest rates and expected dividends, which are estimated as follows:</w:t>
      </w:r>
    </w:p>
    <w:p>
      <w:pPr>
        <w:spacing w:after="0" w:line="26" w:lineRule="exact"/>
        <w:rPr>
          <w:sz w:val="20"/>
          <w:szCs w:val="20"/>
          <w:color w:val="auto"/>
        </w:rPr>
      </w:pPr>
    </w:p>
    <w:p>
      <w:pPr>
        <w:ind w:left="780" w:right="4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Ordinary Shares. </w:t>
      </w:r>
      <w:r>
        <w:rPr>
          <w:rFonts w:ascii="Arial" w:cs="Arial" w:eastAsia="Arial" w:hAnsi="Arial"/>
          <w:sz w:val="18"/>
          <w:szCs w:val="18"/>
          <w:color w:val="auto"/>
        </w:rPr>
        <w:t>Because our shares are not publicly traded, we have estimated the fair value of ordinary shares, as discussed in “—</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 Valuations” below.</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 from U.S. Treasury zero-coupon bonds with a term equivalent to the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the options.</w:t>
      </w:r>
    </w:p>
    <w:p>
      <w:pPr>
        <w:spacing w:after="0" w:line="50"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have never declared or paid any cash dividends and do not presently plan to pay cash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Consequently, we used an expected dividend yield of zero.</w:t>
      </w:r>
    </w:p>
    <w:p>
      <w:pPr>
        <w:spacing w:after="0" w:line="50" w:lineRule="exact"/>
        <w:rPr>
          <w:rFonts w:ascii="Arial" w:cs="Arial" w:eastAsia="Arial" w:hAnsi="Arial"/>
          <w:sz w:val="18"/>
          <w:szCs w:val="18"/>
          <w:color w:val="auto"/>
        </w:rPr>
      </w:pPr>
    </w:p>
    <w:p>
      <w:pPr>
        <w:ind w:left="780" w:right="180" w:hanging="326"/>
        <w:spacing w:after="0" w:line="291"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Since we do not have a trading history for our ordinary shares, we estimated the expected share price volatility for our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by considering the historic price volatility for industry peers based on price observations over a period equivalent to the expected term of the share option grants. Industry peers consist of public companies in the medical device and healthcare industries. We intend to continue to consistently apply this process using the same or similar industry peers until a sufficient amount of historical information regarding the volatility of our ordinary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39" w:lineRule="exact"/>
        <w:rPr>
          <w:rFonts w:ascii="Arial" w:cs="Arial" w:eastAsia="Arial" w:hAnsi="Arial"/>
          <w:sz w:val="16"/>
          <w:szCs w:val="16"/>
          <w:color w:val="auto"/>
        </w:rPr>
      </w:pPr>
    </w:p>
    <w:p>
      <w:pPr>
        <w:ind w:left="780" w:right="560" w:hanging="326"/>
        <w:spacing w:after="0" w:line="25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options granted represents the period of time that options granted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the simplified method in accordance with ASC No. 718-10-S99-1 (SAB No. 110), as adequate historical experience is not available to provide a reasonable estimate. ASC No. 718 requires forfeitures to be estimated at the time of grant and revised, if necessary, in subsequent periods if actual forfeitures differ from those estimates.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presents the weighted-average assumptions used to estimate the fair value of options granted to employees during the periods presented. The number of options granted to non-employees was immaterial:</w:t>
      </w:r>
    </w:p>
    <w:p>
      <w:pPr>
        <w:spacing w:after="0" w:line="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60" w:type="dxa"/>
            <w:vAlign w:val="bottom"/>
            <w:gridSpan w:val="2"/>
          </w:tcPr>
          <w:p>
            <w:pPr>
              <w:jc w:val="center"/>
              <w:ind w:left="399"/>
              <w:spacing w:after="0" w:line="149" w:lineRule="exact"/>
              <w:rPr>
                <w:sz w:val="20"/>
                <w:szCs w:val="20"/>
                <w:color w:val="auto"/>
              </w:rPr>
            </w:pPr>
            <w:r>
              <w:rPr>
                <w:rFonts w:ascii="Arial" w:cs="Arial" w:eastAsia="Arial" w:hAnsi="Arial"/>
                <w:sz w:val="14"/>
                <w:szCs w:val="14"/>
                <w:b w:val="1"/>
                <w:bCs w:val="1"/>
                <w:color w:val="auto"/>
                <w:w w:val="85"/>
              </w:rPr>
              <w:t>Ended June 30,</w:t>
            </w: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2013</w:t>
            </w:r>
          </w:p>
        </w:tc>
        <w:tc>
          <w:tcPr>
            <w:tcW w:w="136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89"/>
              </w:rPr>
              <w:t>2014</w:t>
            </w:r>
          </w:p>
        </w:tc>
      </w:tr>
      <w:tr>
        <w:trPr>
          <w:trHeight w:val="201"/>
        </w:trPr>
        <w:tc>
          <w:tcPr>
            <w:tcW w:w="20" w:type="dxa"/>
            <w:vAlign w:val="bottom"/>
          </w:tcPr>
          <w:p>
            <w:pPr>
              <w:spacing w:after="0"/>
              <w:rPr>
                <w:sz w:val="17"/>
                <w:szCs w:val="17"/>
                <w:color w:val="auto"/>
              </w:rPr>
            </w:pPr>
          </w:p>
        </w:tc>
        <w:tc>
          <w:tcPr>
            <w:tcW w:w="74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Risk-free interest rate</w:t>
            </w:r>
          </w:p>
        </w:tc>
        <w:tc>
          <w:tcPr>
            <w:tcW w:w="880" w:type="dxa"/>
            <w:vAlign w:val="bottom"/>
            <w:tcBorders>
              <w:top w:val="single" w:sz="8" w:color="auto"/>
            </w:tcBorders>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0.95% –</w:t>
            </w:r>
          </w:p>
        </w:tc>
        <w:tc>
          <w:tcPr>
            <w:tcW w:w="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2.08%</w:t>
            </w:r>
          </w:p>
        </w:tc>
        <w:tc>
          <w:tcPr>
            <w:tcW w:w="1360" w:type="dxa"/>
            <w:vAlign w:val="bottom"/>
            <w:gridSpan w:val="2"/>
            <w:shd w:val="clear" w:color="auto" w:fill="CCEEFF"/>
          </w:tcPr>
          <w:p>
            <w:pPr>
              <w:jc w:val="center"/>
              <w:ind w:left="379"/>
              <w:spacing w:after="0"/>
              <w:rPr>
                <w:sz w:val="20"/>
                <w:szCs w:val="20"/>
                <w:color w:val="auto"/>
              </w:rPr>
            </w:pPr>
            <w:r>
              <w:rPr>
                <w:rFonts w:ascii="Arial" w:cs="Arial" w:eastAsia="Arial" w:hAnsi="Arial"/>
                <w:sz w:val="18"/>
                <w:szCs w:val="18"/>
                <w:color w:val="auto"/>
                <w:w w:val="90"/>
              </w:rPr>
              <w:t>1.95%</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4"/>
              </w:rPr>
              <w:t>0%</w:t>
            </w:r>
          </w:p>
        </w:tc>
        <w:tc>
          <w:tcPr>
            <w:tcW w:w="1360" w:type="dxa"/>
            <w:vAlign w:val="bottom"/>
            <w:gridSpan w:val="2"/>
          </w:tcPr>
          <w:p>
            <w:pPr>
              <w:jc w:val="center"/>
              <w:ind w:left="399"/>
              <w:spacing w:after="0"/>
              <w:rPr>
                <w:sz w:val="20"/>
                <w:szCs w:val="20"/>
                <w:color w:val="auto"/>
              </w:rPr>
            </w:pPr>
            <w:r>
              <w:rPr>
                <w:rFonts w:ascii="Arial" w:cs="Arial" w:eastAsia="Arial" w:hAnsi="Arial"/>
                <w:sz w:val="18"/>
                <w:szCs w:val="18"/>
                <w:color w:val="auto"/>
                <w:w w:val="92"/>
              </w:rPr>
              <w:t>0%</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75%</w:t>
            </w:r>
          </w:p>
        </w:tc>
        <w:tc>
          <w:tcPr>
            <w:tcW w:w="1360" w:type="dxa"/>
            <w:vAlign w:val="bottom"/>
            <w:gridSpan w:val="2"/>
            <w:shd w:val="clear" w:color="auto" w:fill="CCEEFF"/>
          </w:tcPr>
          <w:p>
            <w:pPr>
              <w:jc w:val="center"/>
              <w:ind w:left="399"/>
              <w:spacing w:after="0"/>
              <w:rPr>
                <w:sz w:val="20"/>
                <w:szCs w:val="20"/>
                <w:color w:val="auto"/>
              </w:rPr>
            </w:pPr>
            <w:r>
              <w:rPr>
                <w:rFonts w:ascii="Arial" w:cs="Arial" w:eastAsia="Arial" w:hAnsi="Arial"/>
                <w:sz w:val="18"/>
                <w:szCs w:val="18"/>
                <w:color w:val="auto"/>
                <w:w w:val="88"/>
              </w:rPr>
              <w:t>70%</w:t>
            </w:r>
          </w:p>
        </w:tc>
      </w:tr>
      <w:tr>
        <w:trPr>
          <w:trHeight w:val="222"/>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Weighted average expected life (in years)</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6.02</w:t>
            </w:r>
          </w:p>
        </w:tc>
        <w:tc>
          <w:tcPr>
            <w:tcW w:w="520" w:type="dxa"/>
            <w:vAlign w:val="bottom"/>
          </w:tcPr>
          <w:p>
            <w:pPr>
              <w:ind w:left="20"/>
              <w:spacing w:after="0"/>
              <w:rPr>
                <w:sz w:val="20"/>
                <w:szCs w:val="20"/>
                <w:color w:val="auto"/>
              </w:rPr>
            </w:pPr>
            <w:r>
              <w:rPr>
                <w:rFonts w:ascii="Arial" w:cs="Arial" w:eastAsia="Arial" w:hAnsi="Arial"/>
                <w:sz w:val="18"/>
                <w:szCs w:val="18"/>
                <w:color w:val="auto"/>
                <w:w w:val="95"/>
              </w:rPr>
              <w:t>– 6.08</w:t>
            </w:r>
          </w:p>
        </w:tc>
        <w:tc>
          <w:tcPr>
            <w:tcW w:w="1360" w:type="dxa"/>
            <w:vAlign w:val="bottom"/>
            <w:gridSpan w:val="2"/>
          </w:tcPr>
          <w:p>
            <w:pPr>
              <w:jc w:val="center"/>
              <w:ind w:left="399"/>
              <w:spacing w:after="0"/>
              <w:rPr>
                <w:sz w:val="20"/>
                <w:szCs w:val="20"/>
                <w:color w:val="auto"/>
              </w:rPr>
            </w:pPr>
            <w:r>
              <w:rPr>
                <w:rFonts w:ascii="Arial" w:cs="Arial" w:eastAsia="Arial" w:hAnsi="Arial"/>
                <w:sz w:val="18"/>
                <w:szCs w:val="18"/>
                <w:color w:val="auto"/>
                <w:w w:val="91"/>
              </w:rPr>
              <w:t>6.08</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Ordinary Share Valuations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presents the share option grants made between January 1, 2013 and the date of this prospectus and the related exercise price and estimated fair value per ordinary share at the grant date: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6"/>
              </w:rPr>
              <w:t>Number of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Estimated Fair</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4"/>
              </w:rPr>
              <w:t>Date of Grant</w:t>
            </w:r>
          </w:p>
        </w:tc>
        <w:tc>
          <w:tcPr>
            <w:tcW w:w="5100" w:type="dxa"/>
            <w:vAlign w:val="bottom"/>
            <w:vMerge w:val="restart"/>
          </w:tcPr>
          <w:p>
            <w:pPr>
              <w:spacing w:after="0"/>
              <w:rPr>
                <w:sz w:val="12"/>
                <w:szCs w:val="12"/>
                <w:color w:val="auto"/>
              </w:rPr>
            </w:pPr>
          </w:p>
        </w:tc>
        <w:tc>
          <w:tcPr>
            <w:tcW w:w="224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5"/>
              </w:rPr>
              <w:t>Subject to</w:t>
            </w: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Value Per Share at</w:t>
            </w:r>
          </w:p>
        </w:tc>
        <w:tc>
          <w:tcPr>
            <w:tcW w:w="0" w:type="dxa"/>
            <w:vAlign w:val="bottom"/>
          </w:tcPr>
          <w:p>
            <w:pPr>
              <w:spacing w:after="0"/>
              <w:rPr>
                <w:sz w:val="1"/>
                <w:szCs w:val="1"/>
                <w:color w:val="auto"/>
              </w:rPr>
            </w:pPr>
          </w:p>
        </w:tc>
      </w:tr>
      <w:tr>
        <w:trPr>
          <w:trHeight w:val="168"/>
        </w:trPr>
        <w:tc>
          <w:tcPr>
            <w:tcW w:w="860" w:type="dxa"/>
            <w:vAlign w:val="bottom"/>
            <w:tcBorders>
              <w:bottom w:val="single" w:sz="8" w:color="auto"/>
            </w:tcBorders>
            <w:vMerge w:val="continue"/>
          </w:tcPr>
          <w:p>
            <w:pPr>
              <w:spacing w:after="0"/>
              <w:rPr>
                <w:sz w:val="14"/>
                <w:szCs w:val="14"/>
                <w:color w:val="auto"/>
              </w:rPr>
            </w:pPr>
          </w:p>
        </w:tc>
        <w:tc>
          <w:tcPr>
            <w:tcW w:w="5100" w:type="dxa"/>
            <w:vAlign w:val="bottom"/>
            <w:vMerge w:val="continue"/>
          </w:tcPr>
          <w:p>
            <w:pPr>
              <w:spacing w:after="0"/>
              <w:rPr>
                <w:sz w:val="14"/>
                <w:szCs w:val="14"/>
                <w:color w:val="auto"/>
              </w:rPr>
            </w:pPr>
          </w:p>
        </w:tc>
        <w:tc>
          <w:tcPr>
            <w:tcW w:w="2240" w:type="dxa"/>
            <w:vAlign w:val="bottom"/>
            <w:gridSpan w:val="2"/>
          </w:tcPr>
          <w:p>
            <w:pPr>
              <w:jc w:val="center"/>
              <w:ind w:right="1200"/>
              <w:spacing w:after="0" w:line="148" w:lineRule="exact"/>
              <w:rPr>
                <w:sz w:val="20"/>
                <w:szCs w:val="20"/>
                <w:color w:val="auto"/>
              </w:rPr>
            </w:pPr>
            <w:r>
              <w:rPr>
                <w:rFonts w:ascii="Arial" w:cs="Arial" w:eastAsia="Arial" w:hAnsi="Arial"/>
                <w:sz w:val="14"/>
                <w:szCs w:val="14"/>
                <w:b w:val="1"/>
                <w:bCs w:val="1"/>
                <w:color w:val="auto"/>
                <w:w w:val="88"/>
              </w:rPr>
              <w:t>Awards Granted</w:t>
            </w:r>
          </w:p>
        </w:tc>
        <w:tc>
          <w:tcPr>
            <w:tcW w:w="120" w:type="dxa"/>
            <w:vAlign w:val="bottom"/>
          </w:tcPr>
          <w:p>
            <w:pPr>
              <w:spacing w:after="0"/>
              <w:rPr>
                <w:sz w:val="14"/>
                <w:szCs w:val="14"/>
                <w:color w:val="auto"/>
              </w:rPr>
            </w:pPr>
          </w:p>
        </w:tc>
        <w:tc>
          <w:tcPr>
            <w:tcW w:w="1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10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2013</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28,800</w:t>
            </w:r>
          </w:p>
        </w:tc>
        <w:tc>
          <w:tcPr>
            <w:tcW w:w="1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w w:val="79"/>
              </w:rPr>
              <w:t>1.32</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July 2013</w:t>
            </w:r>
          </w:p>
        </w:tc>
        <w:tc>
          <w:tcPr>
            <w:tcW w:w="2240" w:type="dxa"/>
            <w:vAlign w:val="bottom"/>
            <w:gridSpan w:val="2"/>
          </w:tcPr>
          <w:p>
            <w:pPr>
              <w:jc w:val="right"/>
              <w:ind w:right="1200"/>
              <w:spacing w:after="0"/>
              <w:rPr>
                <w:sz w:val="20"/>
                <w:szCs w:val="20"/>
                <w:color w:val="auto"/>
              </w:rPr>
            </w:pPr>
            <w:r>
              <w:rPr>
                <w:rFonts w:ascii="Arial" w:cs="Arial" w:eastAsia="Arial" w:hAnsi="Arial"/>
                <w:sz w:val="18"/>
                <w:szCs w:val="18"/>
                <w:color w:val="auto"/>
              </w:rPr>
              <w:t>21,870</w:t>
            </w:r>
          </w:p>
        </w:tc>
        <w:tc>
          <w:tcPr>
            <w:tcW w:w="120" w:type="dxa"/>
            <w:vAlign w:val="bottom"/>
          </w:tcPr>
          <w:p>
            <w:pPr>
              <w:spacing w:after="0"/>
              <w:rPr>
                <w:sz w:val="18"/>
                <w:szCs w:val="18"/>
                <w:color w:val="auto"/>
              </w:rPr>
            </w:pPr>
          </w:p>
        </w:tc>
        <w:tc>
          <w:tcPr>
            <w:tcW w:w="1920" w:type="dxa"/>
            <w:vAlign w:val="bottom"/>
            <w:gridSpan w:val="2"/>
          </w:tcPr>
          <w:p>
            <w:pPr>
              <w:ind w:left="4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2013</w:t>
            </w:r>
          </w:p>
        </w:tc>
        <w:tc>
          <w:tcPr>
            <w:tcW w:w="22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434,088</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40" w:type="dxa"/>
            <w:vAlign w:val="bottom"/>
            <w:gridSpan w:val="2"/>
          </w:tcPr>
          <w:p>
            <w:pPr>
              <w:jc w:val="right"/>
              <w:ind w:right="1200"/>
              <w:spacing w:after="0"/>
              <w:rPr>
                <w:sz w:val="20"/>
                <w:szCs w:val="20"/>
                <w:color w:val="auto"/>
              </w:rPr>
            </w:pPr>
            <w:r>
              <w:rPr>
                <w:rFonts w:ascii="Arial" w:cs="Arial" w:eastAsia="Arial" w:hAnsi="Arial"/>
                <w:sz w:val="18"/>
                <w:szCs w:val="18"/>
                <w:color w:val="auto"/>
              </w:rPr>
              <w:t>92,862</w:t>
            </w:r>
          </w:p>
        </w:tc>
        <w:tc>
          <w:tcPr>
            <w:tcW w:w="120" w:type="dxa"/>
            <w:vAlign w:val="bottom"/>
          </w:tcPr>
          <w:p>
            <w:pPr>
              <w:spacing w:after="0"/>
              <w:rPr>
                <w:sz w:val="19"/>
                <w:szCs w:val="19"/>
                <w:color w:val="auto"/>
              </w:rPr>
            </w:pPr>
          </w:p>
        </w:tc>
        <w:tc>
          <w:tcPr>
            <w:tcW w:w="1920" w:type="dxa"/>
            <w:vAlign w:val="bottom"/>
            <w:gridSpan w:val="2"/>
          </w:tcPr>
          <w:p>
            <w:pPr>
              <w:ind w:left="4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the assumed initial public offering price of $15.00 per share, the midpoint of the estimated initial public offering price range, set forth on the cover page of this prospectus, the intrinsic value of the awards outstanding as of June 30, 2014 was $15.0 million, of which $4.4 million related to vested options and $10.6 million related to unvested options.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Due to the absence of a trading market for our ordinary shares, the fair value of our ordinary shares for purposes of determining the exercise price for award grants was determined in good faith by our management and approved by our board of directors. In connection with preparing our financial statements for this offering, our management considered the fair value of our ordinary shares based on a number of objective and subjective factors consistent with the methodologies outlined in the American Institute of Certified Public Accountants Practice Aid, Valuation of Privately-Held-Company Equity Securities Issued as Compensation, referred to as the AICPA Practice Aid. We also considered independent third-party valuations. The fair value of the underlying ordinary share will be determined by the board of directors until such time as our ordinary shares are listed on an established stock exchange or national market system.</w:t>
      </w:r>
    </w:p>
    <w:p>
      <w:pPr>
        <w:spacing w:after="0" w:line="3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For our valuations associated with option grants in January and July 2013, we determined our enterprise value and allocated the aggregate equity value to each element of our equity capital structure (preferred shares, ordinary shares and options), using the following methodology:</w:t>
      </w:r>
    </w:p>
    <w:p>
      <w:pPr>
        <w:spacing w:after="0" w:line="4" w:lineRule="exact"/>
        <w:rPr>
          <w:sz w:val="20"/>
          <w:szCs w:val="20"/>
          <w:color w:val="auto"/>
        </w:rPr>
      </w:pPr>
    </w:p>
    <w:p>
      <w:pPr>
        <w:ind w:left="780" w:right="60" w:hanging="326"/>
        <w:spacing w:after="0" w:line="259"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First, we used the discounted cash flow, or DCF, method, to determine our enterprise value. Then, for valuations where our aggregate equity value was such that our preferred shares would not automatically convert to ordinary shares, we used the option pricing method, or OPM, to allocate the equity value to each element of our equity capital structure.</w:t>
      </w:r>
    </w:p>
    <w:p>
      <w:pPr>
        <w:spacing w:after="0" w:line="59" w:lineRule="exact"/>
        <w:rPr>
          <w:rFonts w:ascii="Arial" w:cs="Arial" w:eastAsia="Arial" w:hAnsi="Arial"/>
          <w:sz w:val="18"/>
          <w:szCs w:val="18"/>
          <w:color w:val="auto"/>
        </w:rPr>
      </w:pPr>
    </w:p>
    <w:p>
      <w:pPr>
        <w:ind w:left="1480" w:right="120" w:hanging="446"/>
        <w:spacing w:after="0" w:line="314" w:lineRule="auto"/>
        <w:tabs>
          <w:tab w:leader="none" w:pos="1480" w:val="left"/>
        </w:tabs>
        <w:numPr>
          <w:ilvl w:val="1"/>
          <w:numId w:val="33"/>
        </w:numPr>
        <w:rPr>
          <w:rFonts w:ascii="Arial" w:cs="Arial" w:eastAsia="Arial" w:hAnsi="Arial"/>
          <w:sz w:val="15"/>
          <w:szCs w:val="15"/>
          <w:color w:val="auto"/>
        </w:rPr>
      </w:pPr>
      <w:r>
        <w:rPr>
          <w:rFonts w:ascii="Arial" w:cs="Arial" w:eastAsia="Arial" w:hAnsi="Arial"/>
          <w:sz w:val="15"/>
          <w:szCs w:val="15"/>
          <w:color w:val="auto"/>
        </w:rPr>
        <w:t>Under the DCF method, our projected after-tax cash flows available to return to holders of invested capital were discounted back to present value, using a discount rate. Since it is not possible to project our after-tax cash flows beyond a limited number of years, the DCF method relies on determining a “terminal value” representing the aggregate value of either the future after-tax cash flows or estimated sale value of the Company after the end of the period for which annual projections are possible. The discount rate, known as the weighted cost of capital, or WACC, accounts for the time value of money and the appropriate degree of risk inherent in the business. The DCF method requires significant assumptions, in particular, regarding our projected cash flows, terminal value and the discount rate applicable to our business.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20" w:hanging="446"/>
        <w:spacing w:after="0" w:line="290" w:lineRule="auto"/>
        <w:tabs>
          <w:tab w:leader="none" w:pos="14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offering. The ordinary shares are modeled as call options with an exercise price equal to the liquidation preference of the preferred shares. The value of the call options is determined using the Black-Scholes Merton option-pricing model. The OPM method requires significant assumptions, in particular, the time until investors on our company would experience an exit event and the volatility of our ordinary shares (which we determined based on the volatilities of public companies with business and financial risks comparable to our own).</w:t>
      </w:r>
    </w:p>
    <w:p>
      <w:pPr>
        <w:spacing w:after="0" w:line="37"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also used the guideline company method and the guideline transaction method, initially as reasonableness tests, in order to evaluate whether the DCF / OPM method provided a reliable estimate of our enterprise value.</w:t>
      </w:r>
    </w:p>
    <w:p>
      <w:pPr>
        <w:spacing w:after="0" w:line="50" w:lineRule="exact"/>
        <w:rPr>
          <w:rFonts w:ascii="Arial" w:cs="Arial" w:eastAsia="Arial" w:hAnsi="Arial"/>
          <w:sz w:val="18"/>
          <w:szCs w:val="18"/>
          <w:color w:val="auto"/>
        </w:rPr>
      </w:pPr>
    </w:p>
    <w:p>
      <w:pPr>
        <w:ind w:left="1480" w:right="80" w:hanging="446"/>
        <w:spacing w:after="0" w:line="254"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Under the guideline company method, we identified public companies with business and financial risks comparable to our own. We considered forward enterprise value to revenue multiples of those comparable companies to derive a reasonable estimate for our company’s enterprise value. The most significant assumptions in the guideline company method are the selection of comparable companies and the selection of appropriate multiples. We used the same comparable companies for the guideline company method as we used to determine volatility in connection with the OPM method (two additional companies were added for the 2014 valuations, which were not public before those dates).</w:t>
      </w:r>
    </w:p>
    <w:p>
      <w:pPr>
        <w:spacing w:after="0" w:line="63"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Under the guideline transaction method, we identified companies with business and financial risks comparable to our own that were recently acquired or that conducted IPOs. We considered the enterprise value to revenue multiples of those comparable companies to derive a reasonable range for our company’s enterprise value.</w:t>
      </w:r>
    </w:p>
    <w:p>
      <w:pPr>
        <w:spacing w:after="0" w:line="59" w:lineRule="exact"/>
        <w:rPr>
          <w:rFonts w:ascii="Arial" w:cs="Arial" w:eastAsia="Arial" w:hAnsi="Arial"/>
          <w:sz w:val="18"/>
          <w:szCs w:val="18"/>
          <w:color w:val="auto"/>
        </w:rPr>
      </w:pPr>
    </w:p>
    <w:p>
      <w:pPr>
        <w:ind w:left="780" w:right="80" w:hanging="326"/>
        <w:spacing w:after="0" w:line="254"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Subsequently, in connection with our grants in December 2013 and thereafter, as we had started to contemplate an IPO, we considered a range of possible valuations in the case of an IPO in tandem with the aforementioned forward guideline company multiples in connection with a possible IPO. Conversely, the DCF / OPM method more closely reflected our value as a private company. Accordingly, starting with the valuation of our ordinary shares in December 2013, when we were first seriously contemplating an IPO, we assigned a probability weighting to the likelihood of an IPO compared to the likelihood of remaining private based on management’s discussions with our board of directors and our assessment of market conditions.</w:t>
      </w:r>
    </w:p>
    <w:p>
      <w:pPr>
        <w:spacing w:after="0" w:line="6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applied a discount to the valuations due to the lack of marketability of the ordinary shares. We calculated this using a put option model based on the Black-Sholes-Merton option-pricing model. The significant assumptions involved were the same as described above.</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mid-August 2014, in consultation with the underwriters, we determined our anticipated offering price range to be $14.00 to $16.00 per share. As of the date of our most recent option grant in April 2014, we had determined the fair value of our ordinary shares to be $7.97 per share. The primary reasons for the increase in fair value were (1) our receipt in June 2014 of FDA clearance to market ReWalk in the United States thereby enabling us to potentially generate revenues from sales in the U.S. market, which we believe to be significant, and (2) the increased probability of an IPO. The possibility of FDA approval and its impact on our valuation was reflected in the range of values that we considered when determining the $7.97 fair value in April 2014 which reflected a 25% probability of an IPO. Had the IPO scenario, which reflected receipt of FDA clearance, been assigned a 100% probability in April 2014, the fair value of our ordinary shares before any discount for lack of marketability would have been similar to the anticipated offering price range.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the factors described above are the primary factors accounting for the increase in the fair value of our ordinary shares from April 2014 to the date of our IPO. Although we believe that it is reasonable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expect that the completion of our IPO will add value to our ordinary shares for the reasons described above and because they will have increased liquidity and marketability, the amount of such additional value cannot be measured or projected with precision or certainty.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account for income taxes in accordance with ASC Topic 740, “Income Taxes,” or ASC Topic 740. ASC Topic 740 prescribes the use of an asset and liability method whereby deferred tax asset and liability account balances are determined based on the difference between book value and the tax bases of assets and liabilities and carryforward tax losses. Deferred taxes are measured using the enacted tax rates and laws that are expected to be in effect when the differences are expected to reverse. We exercise judgment and provide a valuation allowance, if necessary, to reduce deferred tax assets to their estimated realizable value if it is more likely than not that some portion or all of the deferred tax asset will not be realized. We have established a full valuation allowance with respect to our deferred tax assets.</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Deferred tax assets are classified as short or long-term based on the classification of the related asset or liability for financial reporting, or according to the expected reversal dates of the specific temporary differences, if not related to an asset or liability for financial reporting. We account for uncertain tax positions in accordance with ASC 740 and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Accordingly, we report a liability for unrecognized tax benefits resulting from uncertain tax positions taken or expected to be taken in a tax return. We recognize interest and penalties, if any, related to unrecognized tax benefits in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Our results of operations and cash flows are affected by fluctuations due to changes in foreign currency exchange rates. In 2012, our revenues were denominated primarily in euro and our expenses were denominated primarily in NIS. In 2013, most of our revenues were denominated in U.S. dollars, approximately half of our expenses were denominated in U.S. dollars, and the remainder of our expenses were denominated in NIS and euros. Accordingly, changes in the value of the NIS relative to the U.S. dollar in 2012 and changes in the value of the NIS and euro relative to the U.S. dollar in 2013 impacted amounts recorded on our consolidated statements of operations for those periods. We expect that the denominations of our revenue and expenses in 2014 will be consistent with what we experienced in 2013.</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changes in the exchange rates of the NIS and euro against the U.S. dollar in 2012 and 2013:</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Change in Average Exchange Rate</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540" w:type="dxa"/>
            <w:vAlign w:val="bottom"/>
            <w:tcBorders>
              <w:top w:val="single" w:sz="8" w:color="auto"/>
            </w:tcBorders>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NIS against the</w:t>
            </w:r>
          </w:p>
        </w:tc>
        <w:tc>
          <w:tcPr>
            <w:tcW w:w="5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0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U.S.</w:t>
            </w:r>
          </w:p>
        </w:tc>
        <w:tc>
          <w:tcPr>
            <w:tcW w:w="16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Euro against the</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080" w:type="dxa"/>
            <w:vAlign w:val="bottom"/>
          </w:tcPr>
          <w:p>
            <w:pPr>
              <w:spacing w:after="0"/>
              <w:rPr>
                <w:sz w:val="14"/>
                <w:szCs w:val="14"/>
                <w:color w:val="auto"/>
              </w:rPr>
            </w:pPr>
          </w:p>
        </w:tc>
        <w:tc>
          <w:tcPr>
            <w:tcW w:w="15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94"/>
              </w:rPr>
              <w:t>Dollar (%)</w:t>
            </w:r>
          </w:p>
        </w:tc>
        <w:tc>
          <w:tcPr>
            <w:tcW w:w="580" w:type="dxa"/>
            <w:vAlign w:val="bottom"/>
          </w:tcPr>
          <w:p>
            <w:pPr>
              <w:spacing w:after="0"/>
              <w:rPr>
                <w:sz w:val="14"/>
                <w:szCs w:val="14"/>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5"/>
              </w:rPr>
              <w:t>U.S. Dollar (%)</w:t>
            </w:r>
          </w:p>
        </w:tc>
        <w:tc>
          <w:tcPr>
            <w:tcW w:w="0" w:type="dxa"/>
            <w:vAlign w:val="bottom"/>
          </w:tcPr>
          <w:p>
            <w:pPr>
              <w:spacing w:after="0"/>
              <w:rPr>
                <w:sz w:val="1"/>
                <w:szCs w:val="1"/>
                <w:color w:val="auto"/>
              </w:rPr>
            </w:pPr>
          </w:p>
        </w:tc>
      </w:tr>
      <w:tr>
        <w:trPr>
          <w:trHeight w:val="203"/>
        </w:trPr>
        <w:tc>
          <w:tcPr>
            <w:tcW w:w="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2012</w:t>
            </w:r>
          </w:p>
        </w:tc>
        <w:tc>
          <w:tcPr>
            <w:tcW w:w="50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w:t>
            </w: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20"/>
                <w:szCs w:val="20"/>
                <w:color w:val="auto"/>
              </w:rPr>
            </w:pPr>
            <w:r>
              <w:rPr>
                <w:rFonts w:ascii="Arial" w:cs="Arial" w:eastAsia="Arial" w:hAnsi="Arial"/>
                <w:sz w:val="18"/>
                <w:szCs w:val="18"/>
                <w:color w:val="auto"/>
                <w:w w:val="94"/>
              </w:rPr>
              <w:t>2013</w:t>
            </w:r>
          </w:p>
        </w:tc>
        <w:tc>
          <w:tcPr>
            <w:tcW w:w="6620" w:type="dxa"/>
            <w:vAlign w:val="bottom"/>
            <w:gridSpan w:val="3"/>
          </w:tcPr>
          <w:p>
            <w:pPr>
              <w:jc w:val="right"/>
              <w:ind w:right="580"/>
              <w:spacing w:after="0"/>
              <w:rPr>
                <w:sz w:val="20"/>
                <w:szCs w:val="20"/>
                <w:color w:val="auto"/>
              </w:rPr>
            </w:pPr>
            <w:r>
              <w:rPr>
                <w:rFonts w:ascii="Arial" w:cs="Arial" w:eastAsia="Arial" w:hAnsi="Arial"/>
                <w:sz w:val="18"/>
                <w:szCs w:val="18"/>
                <w:color w:val="auto"/>
              </w:rPr>
              <w:t>(6.4)</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figures above represent the change in the average exchange rate in the given period compared to the average exchange rate in the immediately preceding period. Negative figures represent depreciation of the U.S. dollar compared to the NIS or euro. A 10% increase or decrease in the value of the NIS against the U.S. dollar would have decreased or increased our net loss by approximately $0.4 million in 2013. A 10% increase or decrease in the value of the euro against the U.S. dollar would have decreased or increased our net loss by approximately $0.1 million in 2013.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we enter into limited hedging arrangements with financial institutions. We do not use derivative financial instruments for speculative or trading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Revised Financial Accounting Standards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JOBS Act permits emerging growth companies such as us to delay adopting new or revised accounting standards until such time as those standards apply to private companies. We have irrevocably elected not to avail ourselves of this and, therefore, we will be subject to the same new or revised accounting standards as other public companies that are not emerging growth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recently adopted accounting pronouncements that have a material effect on our company.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an innovative medical device company that is designing, developing and commercializing exoskeletons that allow wheelchair-bound individuals with mobility impairments or other medical conditions the ability to stand and walk once again. We have developed and are continuing to commercialize ReWalk, an exoskeleton that uses our patented tilt-sensor technology, and an on-board computer and motion sensors to drive motorized legs that power movement.</w:t>
      </w:r>
    </w:p>
    <w:p>
      <w:pPr>
        <w:spacing w:after="0" w:line="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Current ReWalk designs are intended for people with paraplegia, a spinal cord injury resulting in complete or incomplete paralysis of the legs, who have the use of their upper bodies and arms. We currently offer two products: ReWalk Personal and ReWalk Rehabilitation. ReWalk Personal is designed for everyday use by individuals at home and in their communities, and is custom-fit for each user. ReWalk Rehabilitation is designed for the clinical rehabilitation environment where it provides valuable exercise and therapy. It also enables individuals to evaluate their capacity for using ReWalk Personal in the future. In 2011, we launched ReWalk Rehabilitation for use in hospitals and rehabilitation centers in the United States and Europe. We began marketing ReWalk Personal in Europe with CE mark clearance at the end of 2012 and received FDA clearance to market it in the United States in June 2014. ReWalk is the first exoskeleton cleared by the FDA for personal use. In the future, we will need to obtain approval from the applicable regulatory agency of any additional jurisdiction in which we seek to market ReWalk.</w:t>
      </w:r>
    </w:p>
    <w:p>
      <w:pPr>
        <w:spacing w:after="0" w:line="37"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ReWalk is a breakthrough product that can fundamentally change the health and life experiences of users. ReWalk is currently the only commercialized exoskeleton using a tilt sensor to restore self-initiated walking. Designed for all-day use, ReWalk is battery-powered and consists of a light, wearable exoskeleton with integrated motors at the joints, an array of sensors and a computer-based control system to power knee and hip movement. ReWalk controls movement using subtle changes in the user’s center of gravity. A forward tilt of the upper body is sensed by the system, which initiates the first step. Repeated body shifting generates a sequence of steps which allows for natural gait with functional walking speed. Because the exoskeleton supports its own weight, users do not expend unnecessary energy while walking. While ReWalk does not allow side-to-side actuation, users are able to turn by shifting their weight to the side. ReWalk also allows users to sit, stand and, in some cases, climb and descend stairs. ReWalk users are able to independently operate the devices, and most are able to put on and remove the devices by themselves. However, our safety guidelines and FDA specifications require users to be accompanied by a trained companion.</w:t>
      </w:r>
    </w:p>
    <w:p>
      <w:pPr>
        <w:spacing w:after="0" w:line="2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Published clinical studies demonstrate ReWalk’s ability to deliver a natural gait and functional walking speed, which has not been shown in studies for any competing exoskeleton. In addition, our interim analysis of an ongoing clinical study and our experience working with health care practitioners and ReWalk users suggests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 Because of these secondary medical benefits, we believe that ReWalk has the ability to reduce the lifetime healthcare costs of individuals with spinal cord injuries, making it economically attractive for individuals and third-party payors. While we believe that ReWalk offers significant advantages over competing technologies and therapies, disadvantages include the time it takes for a user to put on ReWalk, the slower pace of ReWalk compared to a wheelchair, the weight of ReWalk when carried, which makes it more burdensome for a companion to transport than a wheelchair, and the requirement that users be accompanied by a trained companion.</w:t>
      </w:r>
    </w:p>
    <w:p>
      <w:pPr>
        <w:spacing w:after="0" w:line="2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believe that the current design of Rewalk provides a functional technical base that can be easily adapted to address medical indications other than paraplegia that affect the ability to walk. We are currently engaged in research and development efforts to adapt ReWalk to address the mobility needs of quadriplegia and multiple sclerosis patients, and, in the future, we plan to address these needs in stroke and cerebral palsy patients. We are also developing our next generation of ReWalk, with a more efficient drive mechanism, slimmer profile and lighter body, as well as other improvements.</w:t>
      </w:r>
    </w:p>
    <w:p>
      <w:pPr>
        <w:spacing w:after="0" w:line="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Development of ReWalk took over a decade and was spurred by the experiences of our founder, Dr. Amit Goffer, himself a quadriplegic. As of August 1, 2014, we had placed 62 ReWalk Rehabilitation and 19 ReWalk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Personal systems, 88% of which were purchased by our customers, and 12% of which were placed with clinics and distributors for training, market development and clinical testing. Through August 1, 2014 we have trained over 400 ReWalk users, representing over 20,000 hours of use.</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commercialization strategy is to penetrate rehabilitation centers, hospitals and similar facilities that treat patients with spinal cord injuries to become an integral part of their rehabilitation programs and to develop a broad based training network with these facilities to prepare users for home and community use. According to the National Spinal Cord Injury Statistical Center, 87.1% of persons with spinal cord injuries are sent to private, non-institutional residences (in most cases, their homes) after hospital discharge. As a result, while the majority of our sales to date have been ReWalk Rehabilitation units, the primary focus of our commercialization efforts going forward will be marketing ReWalk Personal for routine use at home, work or in the community, and we expect sales of ReWalk Personal to account for the substantial majority of our revenues in the future.</w:t>
      </w:r>
    </w:p>
    <w:p>
      <w:pPr>
        <w:spacing w:after="0" w:line="3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expect to generate revenues from a combination of self-payors and third-party payors. While no uniform policy of coverage and reimbursement by third-party payors currently exists for electronic exoskeleton technologies such as ReWalk, we plan to pursue various paths of reimbursement and support fundraising efforts by institutions and clinics. In July 2014, the James J. Peters VA hospital (Bronx, New York) announced that it would be fully committed to supporting the procurement of ReWalk Personal and providing the staffing support needed for all eligible veterans with spinal cord injury for whom ReWalk is clinically indicated. As the first hospital to research the health-related benefits of an exoskeletal walking device for people with spinal cord injury, the Bronx VA experience supports the clinical use of ReWalk and similar FDA-approved technologies. We believe that additional VAs will adopt similar policies in the future.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offices in Yokneam, Israel, Marlborough, Massachusetts and Berlin, Germany.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strengths provide us with sustainable competitive advantages to grow our revenue:</w:t>
      </w:r>
    </w:p>
    <w:p>
      <w:pPr>
        <w:spacing w:after="0" w:line="90" w:lineRule="exact"/>
        <w:rPr>
          <w:sz w:val="20"/>
          <w:szCs w:val="20"/>
          <w:color w:val="auto"/>
        </w:rPr>
      </w:pPr>
    </w:p>
    <w:p>
      <w:pPr>
        <w:ind w:left="780" w:hanging="326"/>
        <w:spacing w:after="0" w:line="290"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Technology Enabling a More Natural Walking Experience. </w:t>
      </w:r>
      <w:r>
        <w:rPr>
          <w:rFonts w:ascii="Arial" w:cs="Arial" w:eastAsia="Arial" w:hAnsi="Arial"/>
          <w:sz w:val="16"/>
          <w:szCs w:val="16"/>
          <w:color w:val="auto"/>
        </w:rPr>
        <w:t>Our patented tilt-sensor technology and proprietary software allow self-initiated movement that we believe delivers a more natural walking experience than competing products. Published clinical studies demonstrate ReWalk’s ability to provide a natural gait and functional walking speed, which has not been shown in studies for any competing exoskeleton. In the United States, we have method patent protection covering certain methods of user activation and control of systems such as ReWalk, including by sensing the users’ torso lean or weight shifts. In addition, we have apparatus patent protection in the United States and Europe covering the design of ReWalk and similar devices that use several sensors to empower tilt-sensor technology. Our patents on the tilt-sensor technology do not begin to expire until 2021. We also rely on trade secrets law to protect our proprietary software and product candidates/products in development.</w:t>
      </w:r>
    </w:p>
    <w:p>
      <w:pPr>
        <w:spacing w:after="0" w:line="37" w:lineRule="exact"/>
        <w:rPr>
          <w:rFonts w:ascii="Arial" w:cs="Arial" w:eastAsia="Arial" w:hAnsi="Arial"/>
          <w:sz w:val="16"/>
          <w:szCs w:val="16"/>
          <w:color w:val="auto"/>
        </w:rPr>
      </w:pPr>
    </w:p>
    <w:p>
      <w:pPr>
        <w:ind w:left="780" w:right="40" w:hanging="326"/>
        <w:spacing w:after="0" w:line="25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Mover Advantage. </w:t>
      </w:r>
      <w:r>
        <w:rPr>
          <w:rFonts w:ascii="Arial" w:cs="Arial" w:eastAsia="Arial" w:hAnsi="Arial"/>
          <w:sz w:val="18"/>
          <w:szCs w:val="18"/>
          <w:color w:val="auto"/>
        </w:rPr>
        <w:t>ReWalk Personal is the first medical exoskeleton cleared by the FDA for personal use in the United States. We do not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our competitors have any products that will be cleared by the FDA for personal use in the United States for at least the next two years. As a result, we believe we will be able to capture significant U.S. market share for exoskeletons for personal use. In addition, we were the first medical exoskeleton provider to have an established commercial infrastructure, and to market products in Europe, with our direct sales force in Germany. We are also the first to achieve reimbursement for a personal unit.</w:t>
      </w:r>
    </w:p>
    <w:p>
      <w:pPr>
        <w:spacing w:after="0" w:line="61" w:lineRule="exact"/>
        <w:rPr>
          <w:rFonts w:ascii="Arial" w:cs="Arial" w:eastAsia="Arial" w:hAnsi="Arial"/>
          <w:sz w:val="18"/>
          <w:szCs w:val="18"/>
          <w:color w:val="auto"/>
        </w:rPr>
      </w:pPr>
    </w:p>
    <w:p>
      <w:pPr>
        <w:ind w:left="780" w:right="40" w:hanging="326"/>
        <w:spacing w:after="0" w:line="294"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Compelling Clinical Data. </w:t>
      </w:r>
      <w:r>
        <w:rPr>
          <w:rFonts w:ascii="Arial" w:cs="Arial" w:eastAsia="Arial" w:hAnsi="Arial"/>
          <w:sz w:val="16"/>
          <w:szCs w:val="16"/>
          <w:color w:val="auto"/>
        </w:rPr>
        <w:t>We believe that ReWalk’s clinical data differentiates us from our competitors. Clinical data published in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journals has demonstrated ReWalk’s potential as a safe ambulatory device. We are not aware of any comparable clinical data generated in rigorous trials that has been published with respect to competing exoskeleton products. In addition, our interim analysis of an ongoing clinical study demonstrates improvements in secondary physical conditions, such as reduction in pain and spasticity and improving bowel and urinary tract function, body and bone composition, metabolism and physical fitness, as well as reduced hospitalizations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20"/>
        <w:spacing w:after="0" w:line="268" w:lineRule="auto"/>
        <w:rPr>
          <w:sz w:val="20"/>
          <w:szCs w:val="20"/>
          <w:color w:val="auto"/>
        </w:rPr>
      </w:pPr>
      <w:r>
        <w:rPr>
          <w:rFonts w:ascii="Arial" w:cs="Arial" w:eastAsia="Arial" w:hAnsi="Arial"/>
          <w:sz w:val="18"/>
          <w:szCs w:val="18"/>
          <w:color w:val="auto"/>
        </w:rPr>
        <w:t>dependence on medications. We believe that continued results of this nature will greatly assist our ability to obtain regulatory clearances and third-party reimbursement.</w:t>
      </w:r>
    </w:p>
    <w:p>
      <w:pPr>
        <w:spacing w:after="0" w:line="51" w:lineRule="exact"/>
        <w:rPr>
          <w:sz w:val="20"/>
          <w:szCs w:val="20"/>
          <w:color w:val="auto"/>
        </w:rPr>
      </w:pPr>
    </w:p>
    <w:p>
      <w:pPr>
        <w:ind w:left="780" w:right="60" w:hanging="326"/>
        <w:spacing w:after="0" w:line="290"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Alliance with Yaskawa Electric Corporation. </w:t>
      </w:r>
      <w:r>
        <w:rPr>
          <w:rFonts w:ascii="Arial" w:cs="Arial" w:eastAsia="Arial" w:hAnsi="Arial"/>
          <w:sz w:val="16"/>
          <w:szCs w:val="16"/>
          <w:color w:val="auto"/>
        </w:rPr>
        <w:t>We have entered into a strategic alliance with Yaskawa Electric Corporation, a global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fields of industrial robotics and automation. Pursuant to this arrangement, Yaskawa will serve as our distributor in certain Asian markets, where its name and brand recognition provide us with opportunities for growth and market penetration and can apply its expertise for product and quality improvements to ReWalk. We believe that this arrangement with such a prominent company is unique in this industry. Yaskawa also made an equity investment in our company. In addition, in the future, subject to any necessary regulatory clearance, we may market and sell in the United States and Europe certain healthcare equipment products that Yaskawa is currently developing. See “Certain Relationships and Related Party Transactions— Series D Preferred Share Purchase Agreement” and “—Agreements with Yaskawa.”</w:t>
      </w:r>
    </w:p>
    <w:p>
      <w:pPr>
        <w:spacing w:after="0" w:line="37" w:lineRule="exact"/>
        <w:rPr>
          <w:rFonts w:ascii="Arial" w:cs="Arial" w:eastAsia="Arial" w:hAnsi="Arial"/>
          <w:sz w:val="16"/>
          <w:szCs w:val="16"/>
          <w:color w:val="auto"/>
        </w:rPr>
      </w:pPr>
    </w:p>
    <w:p>
      <w:pPr>
        <w:ind w:left="780" w:right="40" w:hanging="326"/>
        <w:spacing w:after="0" w:line="25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and Scaleable Manufacturing Capability. </w:t>
      </w:r>
      <w:r>
        <w:rPr>
          <w:rFonts w:ascii="Arial" w:cs="Arial" w:eastAsia="Arial" w:hAnsi="Arial"/>
          <w:sz w:val="18"/>
          <w:szCs w:val="18"/>
          <w:color w:val="auto"/>
        </w:rPr>
        <w:t>We have contracted with Sanmina Corporation, a well-established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with expertise in the medical device industry, for the manufacture of all of our products. Pursuant to this arrangement, Sanmina also sources all of the raw materials needed for the production of our products. We believe that this relationship provides us security with respect to quality, price and quantity of our products and offers significant scale-up capacity.</w:t>
      </w:r>
    </w:p>
    <w:p>
      <w:pPr>
        <w:spacing w:after="0" w:line="62"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Experienced Management Team and Employees with Personal Experience with Paralysis. </w:t>
      </w:r>
      <w:r>
        <w:rPr>
          <w:rFonts w:ascii="Arial" w:cs="Arial" w:eastAsia="Arial" w:hAnsi="Arial"/>
          <w:sz w:val="16"/>
          <w:szCs w:val="16"/>
          <w:color w:val="auto"/>
        </w:rPr>
        <w:t>Our senior management team has significant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medical device, technology and robotics industries, with an average of over 20 years of experience. The experiences of Dr. Amit Goffer, our founder, President and Chief Technology Officer, and the inventor of ReWalk, who has been paralyzed since 1997, have been one of the greatest drivers in the development and refinement of ReWalk. Additionally, certain of our sales and marketing and research and development employees are paraplegic, which provides us with invaluable perspective to advance the development of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goal is to drive sustainable growth by fundamentally changing the health and life experiences of individuals with mobility impairments. To achieve this goal, we intend to:</w:t>
      </w:r>
    </w:p>
    <w:p>
      <w:pPr>
        <w:spacing w:after="0" w:line="51" w:lineRule="exact"/>
        <w:rPr>
          <w:sz w:val="20"/>
          <w:szCs w:val="20"/>
          <w:color w:val="auto"/>
        </w:rPr>
      </w:pPr>
    </w:p>
    <w:p>
      <w:pPr>
        <w:ind w:left="780" w:right="180" w:hanging="326"/>
        <w:spacing w:after="0" w:line="298"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Our Salesforce and Infrastructure. </w:t>
      </w:r>
      <w:r>
        <w:rPr>
          <w:rFonts w:ascii="Arial" w:cs="Arial" w:eastAsia="Arial" w:hAnsi="Arial"/>
          <w:sz w:val="16"/>
          <w:szCs w:val="16"/>
          <w:color w:val="auto"/>
        </w:rPr>
        <w:t>We intend to penetrate our target markets and drive sales of ReWalk by increasing our sales force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strengthening our distribution network and service, training and support functions. We believe that our presence in leading rehabilitation centers, hospitals and similar facilities in the United States and Europe has allowed us to establish a strong training infrastructure, and we plan to use this existing infrastructure as a point of entry to efficiently penetrate the market for ReWalk Personal.</w:t>
      </w:r>
    </w:p>
    <w:p>
      <w:pPr>
        <w:spacing w:after="0" w:line="31" w:lineRule="exact"/>
        <w:rPr>
          <w:rFonts w:ascii="Arial" w:cs="Arial" w:eastAsia="Arial" w:hAnsi="Arial"/>
          <w:sz w:val="16"/>
          <w:szCs w:val="16"/>
          <w:color w:val="auto"/>
        </w:rPr>
      </w:pPr>
    </w:p>
    <w:p>
      <w:pPr>
        <w:ind w:left="780" w:right="120" w:hanging="326"/>
        <w:spacing w:after="0" w:line="25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Geographic Coverage. </w:t>
      </w:r>
      <w:r>
        <w:rPr>
          <w:rFonts w:ascii="Arial" w:cs="Arial" w:eastAsia="Arial" w:hAnsi="Arial"/>
          <w:sz w:val="18"/>
          <w:szCs w:val="18"/>
          <w:color w:val="auto"/>
        </w:rPr>
        <w:t>We intend to increase our presence in the United States in response to receipt of FDA clearance for ReWalk Personal.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plan to expand into new geographies throughout Europe and, through our arrangements with Yaskawa, in Asia. To date, we have focused our commercialization efforts primarily on the German, French, UK, Italian, Austrian, Canadian and Turkish markets for personal and rehabilitation use and the U.S. market for rehabilitation use.</w:t>
      </w:r>
    </w:p>
    <w:p>
      <w:pPr>
        <w:spacing w:after="0" w:line="62" w:lineRule="exact"/>
        <w:rPr>
          <w:rFonts w:ascii="Arial" w:cs="Arial" w:eastAsia="Arial" w:hAnsi="Arial"/>
          <w:sz w:val="18"/>
          <w:szCs w:val="18"/>
          <w:color w:val="auto"/>
        </w:rPr>
      </w:pPr>
    </w:p>
    <w:p>
      <w:pPr>
        <w:ind w:left="780" w:right="60" w:hanging="326"/>
        <w:spacing w:after="0" w:line="294"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Clinical Studies to Further Demonstrate Health and Economic Benefits to Support Reimbursement. </w:t>
      </w:r>
      <w:r>
        <w:rPr>
          <w:rFonts w:ascii="Arial" w:cs="Arial" w:eastAsia="Arial" w:hAnsi="Arial"/>
          <w:sz w:val="16"/>
          <w:szCs w:val="16"/>
          <w:color w:val="auto"/>
        </w:rPr>
        <w:t>We intend to continue to work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hospitals, rehabilitation centers, patient advocacy and support groups and individual users to generate additional data regarding functionality and that supports the health and economic benefits of ReWalk. We will continue to engage and fund researchers and organizations to conduct clinical studies to demonstrate the functionality and utilization of ReWalk and to highlight economic benefits of reductions in medical complications associated with spinal cord injury. We believe that this data will position us to pursue additional third-party reimbursement for our products.</w:t>
      </w:r>
    </w:p>
    <w:p>
      <w:pPr>
        <w:spacing w:after="0" w:line="34"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Core Technology Platform to Expand Treatment Indications. </w:t>
      </w:r>
      <w:r>
        <w:rPr>
          <w:rFonts w:ascii="Arial" w:cs="Arial" w:eastAsia="Arial" w:hAnsi="Arial"/>
          <w:sz w:val="18"/>
          <w:szCs w:val="18"/>
          <w:color w:val="auto"/>
        </w:rPr>
        <w:t>We designed ReWalk to provide a functional technical base that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easily adapted to address medical indications other than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60"/>
        <w:spacing w:after="0" w:line="335" w:lineRule="auto"/>
        <w:rPr>
          <w:sz w:val="20"/>
          <w:szCs w:val="20"/>
          <w:color w:val="auto"/>
        </w:rPr>
      </w:pPr>
      <w:r>
        <w:rPr>
          <w:rFonts w:ascii="Arial" w:cs="Arial" w:eastAsia="Arial" w:hAnsi="Arial"/>
          <w:sz w:val="15"/>
          <w:szCs w:val="15"/>
          <w:color w:val="auto"/>
        </w:rPr>
        <w:t>paraplegia, and we believe that we have the internal and external experience to develop and commercialize products to address new indications. In addition to developing the next generation of ReWalk we are currently engaged in research and development efforts to adapt ReWalk to address the mobility needs of quadriplegia and multiple sclerosis patients, and, in the future, we plan to address these needs in stroke and cerebral palsy patients.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Spinal Anatomy and Spinal Cord Injury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Spinal Anatomy</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spine is the central core of the human skeleton and provides structural support, alignment and flexibility to the body. It consists of 24 interlocking bones, called vertebrae, which are stacked on top of one another. The spine is comprised of five regions, of which there are three primary regions: cervical, thoracic and lumbar. In addition, there is also the sacral region, or sacrum, a triangular-shaped bone and the coccyx, or “tailbone,” the bottom portion of the spine.</w:t>
      </w:r>
    </w:p>
    <w:p>
      <w:pPr>
        <w:spacing w:after="0" w:line="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spinal cord, housed inside the bony spinal column, is a complex bundle of nerves serving as the main pathway for information connecting the brain and nervous system. The spinal cord is divided into 31 segments that feed sensory impulses into the spinal cord, which in turn relays them to the brain. Conversely, motor impulses generated in the brain are relayed by the spinal cord to the spinal nerves, which pass the impulses to muscles and glands. The spinal cord mediates the reflex responses to some sensory impulses directly, without recourse to the brain, for example, when a person’s leg is tapped, producing the knee jerk reflex.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Spinal Cord Injury</w:t>
      </w:r>
    </w:p>
    <w:p>
      <w:pPr>
        <w:spacing w:after="0" w:line="90" w:lineRule="exact"/>
        <w:rPr>
          <w:sz w:val="20"/>
          <w:szCs w:val="20"/>
          <w:color w:val="auto"/>
        </w:rPr>
      </w:pPr>
    </w:p>
    <w:p>
      <w:pPr>
        <w:ind w:right="2080" w:firstLine="432"/>
        <w:spacing w:after="0" w:line="290" w:lineRule="auto"/>
        <w:rPr>
          <w:sz w:val="20"/>
          <w:szCs w:val="20"/>
          <w:color w:val="auto"/>
        </w:rPr>
      </w:pPr>
      <w:r>
        <w:rPr>
          <w:rFonts w:ascii="Arial" w:cs="Arial" w:eastAsia="Arial" w:hAnsi="Arial"/>
          <w:sz w:val="16"/>
          <w:szCs w:val="16"/>
          <w:color w:val="auto"/>
        </w:rPr>
        <w:t>Spinal cord injury is the result of a direct trauma to the nerves themselves or damage to the surrounding bones and soft tissues which ultimately impacts the spinal cord. Spinal cord damage results in a loss of function, such as mobility or feeling. In most people who have spinal cord injury, the spinal cord is intact. Spinal cord injury is not the same as back injury, which may result from pinched nerves or ruptured disks. Even when a person sustains a break in a vertebra or vertebrae, there may not be any spinal cord injury if the spinal cord itself is not affected. There are two types of spinal cord injury – complete and incomplete. In a complete injury, a person loses all ability to feel and voluntarily move below the level of the injury. In an incomplete injury, there is some functioning below the level of the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-853440</wp:posOffset>
            </wp:positionV>
            <wp:extent cx="986155" cy="24098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86155" cy="2409825"/>
                    </a:xfrm>
                    <a:prstGeom prst="rect">
                      <a:avLst/>
                    </a:prstGeom>
                    <a:noFill/>
                  </pic:spPr>
                </pic:pic>
              </a:graphicData>
            </a:graphic>
          </wp:anchor>
        </w:drawing>
      </w:r>
    </w:p>
    <w:p>
      <w:pPr>
        <w:spacing w:after="0" w:line="17" w:lineRule="exact"/>
        <w:rPr>
          <w:sz w:val="20"/>
          <w:szCs w:val="20"/>
          <w:color w:val="auto"/>
        </w:rPr>
      </w:pPr>
    </w:p>
    <w:p>
      <w:pPr>
        <w:ind w:right="2100" w:firstLine="432"/>
        <w:spacing w:after="0" w:line="290" w:lineRule="auto"/>
        <w:rPr>
          <w:sz w:val="20"/>
          <w:szCs w:val="20"/>
          <w:color w:val="auto"/>
        </w:rPr>
      </w:pPr>
      <w:r>
        <w:rPr>
          <w:rFonts w:ascii="Arial" w:cs="Arial" w:eastAsia="Arial" w:hAnsi="Arial"/>
          <w:sz w:val="16"/>
          <w:szCs w:val="16"/>
          <w:color w:val="auto"/>
        </w:rPr>
        <w:t>Upon examination, a patient is assigned a level of injury depending on the location of the spinal cord injury. Cervical level injuries cause paralysis or weakness in both arms and legs and is referred to as quadriplegia. Sometimes this type of injury is accompanied by loss of physical sensation, respiratory issues, bowel, bladder, and sexual dysfunction. Thoracic level injuries can cause paralysis or weakness of the legs (paraplegia) along with loss of physical sensation, bowel, bladder, and sexual dysfunction. In most cases, arms and hands are not affected. Lumbar level injuries result in paralysis or weakness of the legs (paraplegia). Loss of physical sensation, bowel, bladder, and sexual dysfunction can occur. The shoulder, arm, and hand functions are usually unaffected. Sacral level injuries primarily cause loss of bowel and bladder function as well as sexual dysfunction.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9480"/>
        <w:spacing w:after="0"/>
        <w:rPr>
          <w:sz w:val="20"/>
          <w:szCs w:val="20"/>
          <w:color w:val="auto"/>
        </w:rPr>
      </w:pPr>
      <w:r>
        <w:rPr>
          <w:rFonts w:ascii="Arial" w:cs="Arial" w:eastAsia="Arial" w:hAnsi="Arial"/>
          <w:sz w:val="12"/>
          <w:szCs w:val="12"/>
          <w:color w:val="auto"/>
        </w:rPr>
        <w:t>Image of Separated Spinal Cord of</w:t>
      </w:r>
    </w:p>
    <w:p>
      <w:pPr>
        <w:spacing w:after="0" w:line="22" w:lineRule="exact"/>
        <w:rPr>
          <w:sz w:val="20"/>
          <w:szCs w:val="20"/>
          <w:color w:val="auto"/>
        </w:rPr>
      </w:pPr>
    </w:p>
    <w:p>
      <w:pPr>
        <w:jc w:val="center"/>
        <w:ind w:left="9480"/>
        <w:spacing w:after="0"/>
        <w:rPr>
          <w:sz w:val="20"/>
          <w:szCs w:val="20"/>
          <w:color w:val="auto"/>
        </w:rPr>
      </w:pPr>
      <w:r>
        <w:rPr>
          <w:rFonts w:ascii="Arial" w:cs="Arial" w:eastAsia="Arial" w:hAnsi="Arial"/>
          <w:sz w:val="14"/>
          <w:szCs w:val="14"/>
          <w:color w:val="auto"/>
        </w:rPr>
        <w:t>an Adult</w:t>
      </w:r>
    </w:p>
    <w:p>
      <w:pPr>
        <w:spacing w:after="0" w:line="10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history of exoskeleton development began in the 19</w:t>
      </w:r>
      <w:r>
        <w:rPr>
          <w:rFonts w:ascii="Arial" w:cs="Arial" w:eastAsia="Arial" w:hAnsi="Arial"/>
          <w:sz w:val="11"/>
          <w:szCs w:val="11"/>
          <w:color w:val="auto"/>
        </w:rPr>
        <w:t>th</w:t>
      </w:r>
      <w:r>
        <w:rPr>
          <w:rFonts w:ascii="Arial" w:cs="Arial" w:eastAsia="Arial" w:hAnsi="Arial"/>
          <w:sz w:val="18"/>
          <w:szCs w:val="18"/>
          <w:color w:val="auto"/>
        </w:rPr>
        <w:t xml:space="preserve"> century, with the first patent for a mechanical suit appearing in 1890. The use of motors and gears to power these suits is not new, with General Electric developing an early exoskeleton device in the 1960s. Called the Hardiman, it was a hydraulic and electric body suit, but its weight and bulk made practical use prohibitive. Innovation of an advanced exoskeleton that restores a natural walking experience has been a key technological goal of the industry, and the lack of such a system has hindered sector growth. Advances in computer hardware and software and proprietary technological breakthroughs pioneered by us have resulted in the development of an advanced exoskeleton, ReWalk, that restores walking with a natural gait and functional speed.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Confinement to a wheelchair can cause severe physical and psychological deterioration, resulting in bad health, poor quality of life, low self-esteem and high medical expenses. In addition, the secondary medical consequences of paralysis can include difficulty with bowel and urinary tract function, osteoporosis, loss of lean mass, gain in fat mass, insulin resistance, diabetes and heart disease. The cost of treating these conditions is substantial. The National Spinal Cord Injury Statistical Center, or the NSCISC, estimates that complications related to paraplegia cost, excluding indirect costs such as losses in wages, fringe benefits and productivity, approximately $500,000 in the first year post-injury and significant additional amounts over the course of an individual’s lifetime. Further, secondary complications related to spinal cord injury can reduce life expectancies for SCI patients.</w:t>
      </w:r>
    </w:p>
    <w:p>
      <w:pPr>
        <w:spacing w:after="0" w:line="3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NSCISC estimates as of 2013 that there were 273,000 people in the United States living with spinal cord injury, with an annual incidence of approximately 12,000 new cases per year. Approximately 42,000 of such patients are veterans, and are eligible for medical care and other benefits from the VA. With 24 VA spinal cord injury centers, the VA has the largest single network of spinal cord injury care in the United States.</w:t>
      </w:r>
    </w:p>
    <w:p>
      <w:pPr>
        <w:spacing w:after="0" w:line="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University of Alabama-Birmingham Department of Physical Medicine and Rehabilitation operates the NSCISC, which maintains the world’s largest database on spinal cord injury research. Since 2010, motor vehicle crashes have been the leading cause of reported spinal cord injury cases (36.5%), followed by falls (28.5%), acts of violence (14.3%) and sports injuries (9.2%). Nearly 80% of spinal cord injuries occur among the male population. According to the NSCISC, upon hospital discharge, 87.1% of persons with spinal cord injuries are sent to private, non-institutional residence (in most cases, their homes prior to injury).</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U.S. Census Bureau data, the spinal cord injury population gender and age statistics and data from the Spinal Cord Model Systems report, we estimate almost 80%, or 218,000, of spinal cord injury patients in the United States could be candidates for current or future ReWalk products. The young average age of injury and significant remaining life expectancy, the likelihood of living at home and lifetime cost of treatment highlight the need for an out-of-hospital solution with demonstrated health and social benefits.</w:t>
      </w:r>
    </w:p>
    <w:p>
      <w:pPr>
        <w:spacing w:after="0" w:line="6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to developing the next generation of ReWalk, we are currently engaged in research and development efforts to adapt ReWalk to address the mobility needs of quadriplegia and multiple sclerosis patients.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According to the National Multiple Sclerosis Society, as many as 400,000 Americans suffer from multiple sclerosis. Research indicates that approximately 53% of these individuals, or approximately 212,000, would be classified as either a 6.0 or 7.0 on the Kurtzke Disability Status Scale (DSS), a measure of the need for walking assistance. Individuals with DSS 6.0 require intermittent or unilateral constant assistance (by means of cane, crutch, or brace) to walk approximately 100 meters without resting. Individuals with DSS 7.0 are unable to walk beyond 10 meters without rest while leaning against a wall or holding furniture for support. We believe these individuals could benefit from our technology.</w:t>
      </w:r>
    </w:p>
    <w:p>
      <w:pPr>
        <w:spacing w:after="0" w:line="3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future, we plan to address the mobility needs of stroke and cerebral palsy patients. Over five million Americans have suffered a stroke, with 780,000 new incidences expected each year. Physical limitations after stroke vary from case to case, but approximately 20-25% of these individuals are unable to walk without full physical assistance. Cerebral palsy is a disorder of movement, muscle tone or posture that is caused by damage to the developing brain, most often before or during a child’s birth, or during the first 3 to 5 years of a child’s life. According to United Cerebral Palsy, there are 764,000 cases of cerebral palsy in the United States. Cerebral palsy represents a significant opportunity to address the segment of this market that will meet the physical criteria to use ReWalk.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ReWalk is a breakthrough product that can fundamentally change the health and life experiences of users. Published clinical studies demonstrate ReWalk’s ability to deliver a natural gait and functional walking speed. ReWalk’s patented tilt-sensor technology and an on-board computer and motion sensors drive motorized legs that power knee and hip movement and allow self-initiated walking. ReWalk controls movement using subtle changes in the user’s center of gravity. A forward tilt of the upper body is sensed by the system, which initiates the first step. Repeated body shifting generates a sequence of steps, which allows natural ambulation with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functional walking speed. While ReWalk does not allow side-to-side actuation, users are able to turn by shifting their weight to the side. ReWalk also allows users to sit, stand and, in some cases, climb and descend stairs. Use on stairs is not approved by the FDA in the United States.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Designed for all-day use and worn over the clothes of users, ReWalk consists of a light wearable exoskeleton with integrated motors at the joints, an array of sensors and a backpack that contains the batteries and the computer-based control system. The control system utilizes proprietary algorithms to analyze, upper-body motions and trigger and maintain gait patterns and other modes of operation (such as stair-climbing and shifting from sitting to standing), leaving the user’s hands free for self-support and other functions. Because the exoskeleton supports its own weight, users do not expend unnecessary energy while walking. Safety measures include crutches, which provide additional stability, fall protection, which lowers users slowly and safely in the event of a malfunction, and the secure “stand” mode, which automatically initiates if the user does not begin walking within two seconds. ReWalk is also equipped with maintenance alarms, warnings and backup batteries. The rechargeable batteries are easily accessible from the system’s backpack and can be recharged in any standard power outlet. Upon completion of training, which generally consists of approximately 15 one-hour sessions, most users are able to put on and remove the device by themselves while sitting, typically in less than 15 minutes.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Current ReWalk designs are intended for people with paraplegia who have the use of their upper bodies and arms. We currently offer two ReWalk products: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ReWalk Personal and ReWalk Rehabilitation.</w:t>
      </w:r>
    </w:p>
    <w:p>
      <w:pPr>
        <w:sectPr>
          <w:pgSz w:w="11900" w:h="16838" w:orient="portrait"/>
          <w:cols w:equalWidth="0" w:num="1">
            <w:col w:w="11400"/>
          </w:cols>
          <w:pgMar w:left="240" w:top="459" w:right="259" w:bottom="1440" w:gutter="0" w:footer="0" w:header="0"/>
        </w:sectPr>
      </w:pPr>
    </w:p>
    <w:p>
      <w:pPr>
        <w:spacing w:after="0" w:line="84" w:lineRule="exact"/>
        <w:rPr>
          <w:sz w:val="20"/>
          <w:szCs w:val="20"/>
          <w:color w:val="auto"/>
        </w:rPr>
      </w:pPr>
    </w:p>
    <w:p>
      <w:pPr>
        <w:ind w:left="780" w:right="920" w:hanging="340"/>
        <w:spacing w:after="0" w:line="291" w:lineRule="auto"/>
        <w:tabs>
          <w:tab w:leader="none" w:pos="671"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ReWalk Personal: </w:t>
      </w:r>
      <w:r>
        <w:rPr>
          <w:rFonts w:ascii="Arial" w:cs="Arial" w:eastAsia="Arial" w:hAnsi="Arial"/>
          <w:sz w:val="16"/>
          <w:szCs w:val="16"/>
          <w:color w:val="auto"/>
        </w:rPr>
        <w:t>intended for everyday use at home, at work or in the community. We began</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ReWalk Personal in Europe with CE mark clearance at the end of 2012. We received clearance to market ReWalk Personal in the United States in June 2014. ReWalk Personal units are all manufactured according to the same specifications. Each unit is then permanently sized to fit the individual user and the software is configured for the user’s specifications by the rehabilitation center, clinic or distributor.</w:t>
      </w:r>
    </w:p>
    <w:p>
      <w:pPr>
        <w:spacing w:after="0" w:line="39" w:lineRule="exact"/>
        <w:rPr>
          <w:rFonts w:ascii="Arial" w:cs="Arial" w:eastAsia="Arial" w:hAnsi="Arial"/>
          <w:sz w:val="16"/>
          <w:szCs w:val="16"/>
          <w:color w:val="auto"/>
        </w:rPr>
      </w:pPr>
    </w:p>
    <w:p>
      <w:pPr>
        <w:ind w:left="780" w:right="1000" w:hanging="340"/>
        <w:spacing w:after="0" w:line="290" w:lineRule="auto"/>
        <w:tabs>
          <w:tab w:leader="none" w:pos="671"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ReWalk Rehabilitation: </w:t>
      </w:r>
      <w:r>
        <w:rPr>
          <w:rFonts w:ascii="Arial" w:cs="Arial" w:eastAsia="Arial" w:hAnsi="Arial"/>
          <w:sz w:val="16"/>
          <w:szCs w:val="16"/>
          <w:color w:val="auto"/>
        </w:rPr>
        <w:t>designed for the clinical rehabilitation environment, ReWalk Rehabilitation</w:t>
      </w:r>
      <w:r>
        <w:rPr>
          <w:rFonts w:ascii="Arial" w:cs="Arial" w:eastAsia="Arial" w:hAnsi="Arial"/>
          <w:sz w:val="16"/>
          <w:szCs w:val="16"/>
          <w:i w:val="1"/>
          <w:iCs w:val="1"/>
          <w:color w:val="auto"/>
        </w:rPr>
        <w:t xml:space="preserve"> </w:t>
      </w:r>
      <w:r>
        <w:rPr>
          <w:rFonts w:ascii="Arial" w:cs="Arial" w:eastAsia="Arial" w:hAnsi="Arial"/>
          <w:sz w:val="16"/>
          <w:szCs w:val="16"/>
          <w:color w:val="auto"/>
        </w:rPr>
        <w:t>has adjustable sizing enabling multiple patient use. ReWalk Rehabilitation provides a valuable means of exercise and therapy. It also enables individuals to evaluate their capacity for using ReWalk Personal in the future. We began marketing ReWalk Rehabilitation for use in hospitals, rehabilitation centers and stand-alone training centers in the United States and Europe in 2011. ReWalk Rehabilitation units are all manufactured according to the same specifications and are equipped with adjustable sizing for multi-patient use.</w:t>
      </w:r>
    </w:p>
    <w:p>
      <w:pPr>
        <w:spacing w:after="0" w:line="37" w:lineRule="exact"/>
        <w:rPr>
          <w:sz w:val="20"/>
          <w:szCs w:val="20"/>
          <w:color w:val="auto"/>
        </w:rPr>
      </w:pPr>
    </w:p>
    <w:p>
      <w:pPr>
        <w:ind w:right="920" w:firstLine="432"/>
        <w:spacing w:after="0" w:line="255" w:lineRule="auto"/>
        <w:rPr>
          <w:sz w:val="20"/>
          <w:szCs w:val="20"/>
          <w:color w:val="auto"/>
        </w:rPr>
      </w:pPr>
      <w:r>
        <w:rPr>
          <w:rFonts w:ascii="Arial" w:cs="Arial" w:eastAsia="Arial" w:hAnsi="Arial"/>
          <w:sz w:val="18"/>
          <w:szCs w:val="18"/>
          <w:color w:val="auto"/>
        </w:rPr>
        <w:t>Our interim analysis of an ongoing clinical study and our experience working with health care practitioners and ReWalk users suggest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ReWalk</w:t>
      </w:r>
    </w:p>
    <w:p>
      <w:pPr>
        <w:spacing w:after="0" w:line="2"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Rehabilitation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57150</wp:posOffset>
            </wp:positionV>
            <wp:extent cx="1560830" cy="26498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0830" cy="2649855"/>
                    </a:xfrm>
                    <a:prstGeom prst="rect">
                      <a:avLst/>
                    </a:prstGeom>
                    <a:noFill/>
                  </pic:spPr>
                </pic:pic>
              </a:graphicData>
            </a:graphic>
          </wp:anchor>
        </w:drawing>
      </w:r>
    </w:p>
    <w:p>
      <w:pPr>
        <w:spacing w:after="0" w:line="3974" w:lineRule="exact"/>
        <w:rPr>
          <w:sz w:val="20"/>
          <w:szCs w:val="20"/>
          <w:color w:val="auto"/>
        </w:rPr>
      </w:pPr>
    </w:p>
    <w:p>
      <w:pPr>
        <w:sectPr>
          <w:pgSz w:w="11900" w:h="16838" w:orient="portrait"/>
          <w:cols w:equalWidth="0" w:num="2">
            <w:col w:w="8640" w:space="720"/>
            <w:col w:w="2040"/>
          </w:cols>
          <w:pgMar w:left="240" w:top="459" w:right="259" w:bottom="1440" w:gutter="0" w:footer="0" w:header="0"/>
          <w:type w:val="continuous"/>
        </w:sectPr>
      </w:pPr>
    </w:p>
    <w:p>
      <w:pPr>
        <w:spacing w:after="0" w:line="294"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Because of these secondary medical benefits, we believe that ReWalk has the ability to reduce the lifetime healthcare costs of individuals with spinal cord injuries, making it economically attractive for individuals, healthcare providers such as hospitals and rehabilitation centers, and third-party payors.</w:t>
      </w:r>
    </w:p>
    <w:p>
      <w:pPr>
        <w:spacing w:after="0" w:line="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ReWalk users must have healthy hands and shoulders, weigh less than 220 pounds (100 kilograms) and be between 5 feet 1 inch and 6 feet 3 inches (1.55 meters and 1.87 meters). Based on U.S. Census Bureau data, the spinal cord injury population gender and age statistics and data from the Spinal Cord Model Systems report, we estimate that approximately 80% of persons with spinal cord injury in the United States comply with these restrictions and other requirements for current and future ReWalk products. ReWalk systems have an estimated useful life of five years and come with a two year warranty covering all elements beyond normal wear and tear.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part of the warranty, users receive software upgrades and an annual inspection. We offer extended warranties for purchase and, outside of the warranty program, provide repairs and service on a fee-for-service basis. ReWalk batteries, which are covered by our warranties, have an estimated life of approximately 600 charges, which for a typical user lasts two to three years.</w:t>
      </w:r>
    </w:p>
    <w:p>
      <w:pPr>
        <w:sectPr>
          <w:pgSz w:w="11900" w:h="16838" w:orient="portrait"/>
          <w:cols w:equalWidth="0" w:num="1">
            <w:col w:w="11380"/>
          </w:cols>
          <w:pgMar w:left="240" w:top="459" w:right="279" w:bottom="1440" w:gutter="0" w:footer="0" w:header="0"/>
        </w:sectPr>
      </w:pPr>
    </w:p>
    <w:p>
      <w:pPr>
        <w:spacing w:after="0" w:line="95"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ReWalk–Q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2930" cy="9861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 cy="98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We are currently developing our next generation of ReWalk, with a more efficient drive mechanism, slimmer profile and lighter body, as well as other improvements. We are also developing ReWalk–Q for individuals with quadriplegia who are unable to hold crutches, which will include attached crutches with wheels. We expect to complete the development of ReWalk–Q in the near future, at which time we will begin clinical testing and apply for regulatory clearances. We plan to expand the designs and indications that we address beyond paraplegia and quadriplegia to include other disabilities affecting gait and ability to walk, such as multiple sclerosis, stroke and cerebral palsy.</w:t>
      </w:r>
    </w:p>
    <w:p>
      <w:pPr>
        <w:spacing w:after="0" w:line="200" w:lineRule="exact"/>
        <w:rPr>
          <w:sz w:val="20"/>
          <w:szCs w:val="20"/>
          <w:color w:val="auto"/>
        </w:rPr>
      </w:pPr>
    </w:p>
    <w:p>
      <w:pPr>
        <w:sectPr>
          <w:pgSz w:w="11900" w:h="16838" w:orient="portrait"/>
          <w:cols w:equalWidth="0" w:num="2">
            <w:col w:w="1060" w:space="660"/>
            <w:col w:w="9660"/>
          </w:cols>
          <w:pgMar w:left="240" w:top="459" w:right="27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and Other Funding Sources</w:t>
      </w:r>
    </w:p>
    <w:p>
      <w:pPr>
        <w:spacing w:after="0" w:line="9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self-payers, third-party reimbursements and various other funding sources for the payment of our products. ReWalk is currently primarily funded by self-payers. We plan to pursue additional pathways of reimbursement and funding, focusing our efforts on our two primary markets: the United States and Western Europe.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Reimbursements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United States, purchasers of ReWalk Rehabilitation have received reimbursement in certain cases. Private rehabilitation centers generally purchase ReWalk Rehabilitation out-of-pocket and then charge patients for ReWalk therapy on a per-session basis. Patients can then seek reimbursement from their insurance companies. Academic facilities such as teaching hospitals generally purchase ReWalk Rehabilitation out-of-pocket and provide patients the opportunity to use the ReWalk without charging for each session. These institutions may then seek reimbursement from insurance companies and may be willing to accept lower reimbursement rates than private facilities due to fewer pricing pressures.</w:t>
      </w:r>
    </w:p>
    <w:p>
      <w:pPr>
        <w:spacing w:after="0" w:line="35"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While in some cases insurance companies have provided reimbursement for ReWalk Rehabilitation upon request, certain insurance companies view ReWalk as an experimental therapy and therefore will not provide coverage at this time. Medicaid and Medicare have provided reimbursement for ReWalk Rehabilitation sessions, although this coverage may have limits in terms of number or frequency of sessions. Worker’s compensation has also provided reimbursement.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Private insurance companies do not currently cover or provide reimbursement for any personal medical exoskeleton products, including ReWalk Personal.</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part of our plan for growth, we intend to work with ReWalk users, health care practitioners, researchers, and the spinal cord injury community to support efforts to demonstrate to insurance companies the health benefits and the economic case for reimbursement of ReWalk Personal. Initially, coverage from private payers will be made on a case-by-case basis. Once a sufficient number of these cases have been approved, applications for local coverage decisions from the private payers will be made. We currently sponsor clinical studies and academic publications that demonstrate the medical benefits of ReWalk. In the future, we will pursue economic benefit clinical studies for the Centers for Medicare/Medicaid Services, or CMS, which would demonstrate the secondary medical benefits and long-term cost savings potential of ReWalk. We believe that a positive response from CMS in respect of such studies will broaden coverage by private insurers. We expect that it could take three to five years to receive a decision from CMS, but we believe that other sources of payment will be sufficient to support our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 Europe</w:t>
      </w:r>
    </w:p>
    <w:p>
      <w:pPr>
        <w:spacing w:after="0" w:line="90"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Reimbursement for ReWalk in Europe varies by country. While we are not aware of any public or private payor that regularly covers ReWalk for rehabilitation or personal use, third-party payors have provided reimbursement for our products in certain cases in Germany, France and Italy.</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initially focusing our efforts in Europe in Germany, which has a single-payer system and where we believe we have made significant progress toward achieving ReWalk coverage from the government. Because ReWalk is not currently covered in Germany, a patient who wishes to use ReWalk must apply for coverage and receive an official denial. He or she must then appeal the decision in court, relying on supporting documentation from a health care provider and other medical evidence. There are approximately 30 such cases pending in Germany, and we believe that these will result in eventual coverage. We plan to continue to pursue this case-by-case strategy and expect that once the precedent for coverage is established, seeking coverage will become easier and more routine. We continue to support clinical research and academic publications, which we believe will further support the case for coverage.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pursuing reimbursement by private insurers and worker’s compensation in various European countries.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Sources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ReWalk is currently primarily funded by self-payers. Self-payers also include individuals who purchase ReWalk with funds from legal settlements with insurance companies or third parties. We also sell ReWalk Rehabilitation to VA hospitals, in which case the VA pays for the product. In July 2014, James J. Peters VA hospital (Bronx, New York) announced that it would be fully committed to supporting the procurement of ReWalk Personal and providing the staffing support needed for all eligible veterans with spinal cord injury for whom ReWalk is clinically indicated. As the first hospital to research the health-related benefits of an exoskeletal walking device for people with spinal cord injury, the Bronx VA experience supports the clinical use of ReWalk and similar FDA-approved technologies. We believe that additional VAs will adopt similar policies in the future. We support financing and fund raising activities of foundations and prospective users. Funding may also be achieved from a number of other sources on a case-by-case basis, including foundations and philanthropic organizations, labor unions, and, in Europe, BG worker’s compensation clinics.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committed to investing in a robust research and development program to enhance our current ReWalk products and to develop our pipeline of new and complementary products, and we believe that ongoing research and development efforts are essential to our success. Our research and development team includes engineers, machinists, researchers, marketing, quality, manufacturing, regulatory and clinical personnel, who work closely together to design, enhance and validate our technologies. This research and development team conceptualizes technologies and then builds and tests prototypes before refining and/or redesigning as necessary. Our regulatory and clinical personnel work in parallel with engineers and researchers, allowing us to anticipate and resolve potential issues at early stages in the development cycle.</w:t>
      </w:r>
    </w:p>
    <w:p>
      <w:pPr>
        <w:spacing w:after="0" w:line="3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plan to increase our investment in research and development in the future by continually improving our functional technological platform, developing our next generation of ReWalk with design improvements and building upon our technological platform to address new medical indications that affect the ability to walk such as quadriplegia, multiple sclerosis, stroke and cerebral palsy.</w:t>
      </w:r>
    </w:p>
    <w:p>
      <w:pPr>
        <w:spacing w:after="0" w:line="59"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conduct our research and development efforts at our facility in Yokneam, Israel. We believe that the close interaction among our research and development, marketing and manufacturing groups allows for timely and effective realization of our new product concepts. Certain of our sales and marketing and research and development employees are paralyzed, including Dr. Amit Goffer, our founder, President and Chief Technology Officer, and the inventor of ReWalk, which provides us with invaluable prospective to advance the development of our products.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research and development efforts are financed, in part, through funding from the OCS and from the BIRD Foundation. From our inception through June 30, 2014, we received funding totaling $0.45 million from the OCS and $0.5 million from the BIRD Foundation. For more information regarding these arrangement, see “Management’s Discussion and Analysis of Financial Condition and Results of Operations—Liquidity and Capital Resources” and “—Grants and Other Funding.”</w:t>
      </w:r>
    </w:p>
    <w:p>
      <w:pPr>
        <w:spacing w:after="0" w:line="62"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In September 2013, we entered into a strategic alliance with Yaskawa Electric Corporation, pursuant to which, among other arrangements, Yaskawa can apply its expertise product and quality improvements to ReWalk. Yaskawa is a global leader in the fields of industrial robotics and automation, and we believe that this relationship provides us with opportunities for product improvement and increased product offerings in the future. For more information regarding our relationship with Yaskawa, see “—Sales and Marketing” and “Certain Relationships and Related Party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coordinate and fund clinical studies intended to establish the effectiveness and benefits of ReWalk for individuals with spinal cord injuries. To date, there have been three studies of ReWalk published in peer-reviewed journals:</w:t>
      </w:r>
    </w:p>
    <w:p>
      <w:pPr>
        <w:spacing w:after="0" w:line="51" w:lineRule="exact"/>
        <w:rPr>
          <w:sz w:val="20"/>
          <w:szCs w:val="20"/>
          <w:color w:val="auto"/>
        </w:rPr>
      </w:pPr>
    </w:p>
    <w:p>
      <w:pPr>
        <w:ind w:left="780" w:right="200" w:hanging="326"/>
        <w:spacing w:after="0" w:line="294"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first study, published in </w:t>
      </w:r>
      <w:r>
        <w:rPr>
          <w:rFonts w:ascii="Arial" w:cs="Arial" w:eastAsia="Arial" w:hAnsi="Arial"/>
          <w:sz w:val="16"/>
          <w:szCs w:val="16"/>
          <w:i w:val="1"/>
          <w:iCs w:val="1"/>
          <w:color w:val="auto"/>
        </w:rPr>
        <w:t>The Journal of Spinal Cord Medicine</w:t>
      </w:r>
      <w:r>
        <w:rPr>
          <w:rFonts w:ascii="Arial" w:cs="Arial" w:eastAsia="Arial" w:hAnsi="Arial"/>
          <w:sz w:val="16"/>
          <w:szCs w:val="16"/>
          <w:color w:val="auto"/>
        </w:rPr>
        <w:t xml:space="preserve"> in 2012, included six participants and was designed to assess the safety and tolerance of use of ReWalk by patients with a spinal cord injury. The participants were all able to walk 100 meters with ReWalk. The study found no adverse safety events (which included falls, status of the skin, status of the spine and joints, blood pressure, pulse and electrocardiography) and concluded that use of ReWalk was well-tolerated by participants with no increase in pain and a moderate level of fatigue after use. The participants generally had positive feedback regarding ReWalk. No adverse effects were noted.</w:t>
      </w:r>
    </w:p>
    <w:p>
      <w:pPr>
        <w:spacing w:after="0" w:line="34" w:lineRule="exact"/>
        <w:rPr>
          <w:rFonts w:ascii="Arial" w:cs="Arial" w:eastAsia="Arial" w:hAnsi="Arial"/>
          <w:sz w:val="16"/>
          <w:szCs w:val="16"/>
          <w:color w:val="auto"/>
        </w:rPr>
      </w:pPr>
    </w:p>
    <w:p>
      <w:pPr>
        <w:ind w:left="780" w:hanging="326"/>
        <w:spacing w:after="0" w:line="288"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second study included 24 participants and was designed to assess the safety and performance of ReWalk in enabling individuals with paraplegia to carry out routine ambulatory functions. Results with respect to a 12-participant subset were published in the </w:t>
      </w:r>
      <w:r>
        <w:rPr>
          <w:rFonts w:ascii="Arial" w:cs="Arial" w:eastAsia="Arial" w:hAnsi="Arial"/>
          <w:sz w:val="16"/>
          <w:szCs w:val="16"/>
          <w:i w:val="1"/>
          <w:iCs w:val="1"/>
          <w:color w:val="auto"/>
        </w:rPr>
        <w:t>American Journal of Physical Medicine &amp;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Rehabilitation </w:t>
      </w:r>
      <w:r>
        <w:rPr>
          <w:rFonts w:ascii="Arial" w:cs="Arial" w:eastAsia="Arial" w:hAnsi="Arial"/>
          <w:sz w:val="16"/>
          <w:szCs w:val="16"/>
          <w:color w:val="auto"/>
        </w:rPr>
        <w:t>in 2012. The results from this subset demonstrated that all participants were able to independently walk, without assistance from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 for at least 50 meters and at least five minutes. Some participants reported improvements in pain, bowel function, bladder function and spasticity. All participants had strong positive feedback regarding the emotional and psychosocial benefits of using ReWalk. ReWalk was found to hold significant potential as a safe ambulatory powered orthotic for spinal cord injury patients. Significant performance variability was noted between participants. There were no serious adverse events reported. Five participants reported mild to moderate adverse effects, consisting of skin abrasions, lightheadedness and edema of the lower limbs. These adverse effects were managed by the appropriate use of padding, caffeine intake and adjustment of blood pressure medication, elastic stockings and rest.</w:t>
      </w:r>
    </w:p>
    <w:p>
      <w:pPr>
        <w:spacing w:after="0" w:line="38" w:lineRule="exact"/>
        <w:rPr>
          <w:rFonts w:ascii="Arial" w:cs="Arial" w:eastAsia="Arial" w:hAnsi="Arial"/>
          <w:sz w:val="16"/>
          <w:szCs w:val="16"/>
          <w:color w:val="auto"/>
        </w:rPr>
      </w:pPr>
    </w:p>
    <w:p>
      <w:pPr>
        <w:ind w:left="780" w:right="40" w:hanging="326"/>
        <w:spacing w:after="0" w:line="332"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third study, published in </w:t>
      </w:r>
      <w:r>
        <w:rPr>
          <w:rFonts w:ascii="Arial" w:cs="Arial" w:eastAsia="Arial" w:hAnsi="Arial"/>
          <w:sz w:val="16"/>
          <w:szCs w:val="16"/>
          <w:i w:val="1"/>
          <w:iCs w:val="1"/>
          <w:color w:val="auto"/>
        </w:rPr>
        <w:t>The Journal of Spinal Cord Medicine</w:t>
      </w:r>
      <w:r>
        <w:rPr>
          <w:rFonts w:ascii="Arial" w:cs="Arial" w:eastAsia="Arial" w:hAnsi="Arial"/>
          <w:sz w:val="16"/>
          <w:szCs w:val="16"/>
          <w:color w:val="auto"/>
        </w:rPr>
        <w:t xml:space="preserve"> in 2013, included six participants and found that participants with spinal cord injury, walking independently with ReWalk, demonstrated a stance and gait similar to that of an able-bodied individual. No adverse effects were noted.</w:t>
      </w:r>
    </w:p>
    <w:p>
      <w:pPr>
        <w:spacing w:after="0" w:line="4" w:lineRule="exact"/>
        <w:rPr>
          <w:rFonts w:ascii="Arial" w:cs="Arial" w:eastAsia="Arial" w:hAnsi="Arial"/>
          <w:sz w:val="16"/>
          <w:szCs w:val="16"/>
          <w:color w:val="auto"/>
        </w:rPr>
      </w:pPr>
    </w:p>
    <w:p>
      <w:pPr>
        <w:ind w:left="780" w:right="20" w:hanging="326"/>
        <w:spacing w:after="0" w:line="290"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fourth study, which is ongoing and includes 30 participants, was designed to assess the mobility skills and levels of training and assistance needed to use and benefit from ReWalk. Results with respect to a seven-participant subset have been finalized and were presented at the </w:t>
      </w:r>
      <w:r>
        <w:rPr>
          <w:rFonts w:ascii="Arial" w:cs="Arial" w:eastAsia="Arial" w:hAnsi="Arial"/>
          <w:sz w:val="16"/>
          <w:szCs w:val="16"/>
          <w:i w:val="1"/>
          <w:iCs w:val="1"/>
          <w:color w:val="auto"/>
        </w:rPr>
        <w:t>STO Human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and Medicine Panel Symposium</w:t>
      </w:r>
      <w:r>
        <w:rPr>
          <w:rFonts w:ascii="Arial" w:cs="Arial" w:eastAsia="Arial" w:hAnsi="Arial"/>
          <w:sz w:val="16"/>
          <w:szCs w:val="16"/>
          <w:color w:val="auto"/>
        </w:rPr>
        <w:t>, Milan, Italy, in 2013. The results from this subset demonstrated that over the course of the training,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learned to move from sitting to standing and standing to sitting and to walk 50 to 166 meters in six minutes. Some assistance was needed for participants with the most limiting spinal cord injuries. Four of the participants were able to climb and descend stairs. The study concluded that ReWalk assisted walking can be performed independently by individuals with certain cases of spinal cord injury and that future technological advances and ongoing training could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0"/>
        <w:spacing w:after="0" w:line="268" w:lineRule="auto"/>
        <w:rPr>
          <w:sz w:val="20"/>
          <w:szCs w:val="20"/>
          <w:color w:val="auto"/>
        </w:rPr>
      </w:pPr>
      <w:r>
        <w:rPr>
          <w:rFonts w:ascii="Arial" w:cs="Arial" w:eastAsia="Arial" w:hAnsi="Arial"/>
          <w:sz w:val="18"/>
          <w:szCs w:val="18"/>
          <w:color w:val="auto"/>
        </w:rPr>
        <w:t>improve mobility and independence. Certain participants reported adverse effects in the form of mild to moderate skin abrasions, which were resolved with equipment adjustments, additional padding, and, in certain cases, allowing the skin to heal.</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Although study participants and other ReWalk users have reported secondary physical and mental health benefits such as reduced pain and spasticity and improved bowel function and urinary tract function, fewer hospitalizations, reduced dependence on medications and improvements in mood, currently there is no formal clinical data establishing any secondary health benefits of ReWalk.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Engagement and Education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devote significant resources to engagement with and education of the spinal cord injury community with respect to the benefits of ReWalk. We actively seek opportunities to partner with hospitals, rehabilitation centers and key opinion leaders to engage in research and development and clinical activities. We also seek to support educational and charitable organizations with fundraising and outreach programs. We believe that our success has been, and will continue to be driven in part by, our reputation and acceptance within the spinal cord injury community.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market and sell our products directly to institutions and individuals and through third-party distributors. We sell our products directly in Germany and the United States and primarily through distributors in our other markets. In our direct markets, we have established relationships with rehabilitation centers and the spinal cord injury community, and in our indirect markets, our distributors maintain these relationships. Sales of ReWalk Personal are generated primarily from the patient base at our rehabilitation centers, referrals through the spinal cord injury community and direct inquiries from potential users.</w:t>
      </w:r>
    </w:p>
    <w:p>
      <w:pPr>
        <w:spacing w:after="0" w:line="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United States, we have a commercial infrastructure in place, which, until receipt of FDA clearance to market ReWalk Personal in the United States, focused on selling ReWalk Rehabilitation. We now plan to redirect our U.S. sales and marketing efforts toward ReWalk Personal by expanding our sales organization with dedicated business development managers for the United States. In Germany, we have successfully sold the ReWalk Rehabilitation and ReWalk Personal. We have begun to expand our German sales and marketing team and will continue to do so in the future to drive sales. We believe that our established commercial infrastructure in Germany has provided us with the knowledge and experience necessary to do so efficiently in the United States. We also believe that this experience will allow us to swiftly establish a direct sales force in other geographies in the future.</w:t>
      </w:r>
    </w:p>
    <w:p>
      <w:pPr>
        <w:spacing w:after="0" w:line="3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maintain arrangements with third-party distributors in Austria, China, France, Italy, Japan, Korea, Russia, Singapore, Taiwan, Thailand, Turkey, and the United Kingdom. We have achieved sales pursuant to these arrangements in the European markets and we expect to begin generating revenues pursuant to these arrangements in the Asian markets in 2014.</w:t>
      </w:r>
    </w:p>
    <w:p>
      <w:pPr>
        <w:spacing w:after="0" w:line="59"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have established centers of operations in Marlborough, Massachusetts, Berlin, Germany and Yokneam, Israel, to manage sales in North America, Europe, and the rest of world, respectively. We maintain training centers at our German and U.S. locations, where our personnel offers training for our sales representatives and distributors.</w:t>
      </w:r>
    </w:p>
    <w:p>
      <w:pPr>
        <w:spacing w:after="0" w:line="5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September 2013, we entered into a strategic alliance with Yaskawa Electric Corporation, in connection with which Yaskawa has agreed to be our exclusive distributor in certain Asian markets. We believe that this relationship provides us with a significant opportunity for growth in Asia. Our arrangement with Yaskawa also provides that in the future, subject to any necessary regulatory clearance, we may market and sell certain of Yaskawa’s healthcare equipment products currently under development in the United States and Europe. For more information regarding our relationship with Yaskawa, see “Certain Relationships and Related Party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Customer Support</w:t>
      </w:r>
    </w:p>
    <w:p>
      <w:pPr>
        <w:spacing w:after="0" w:line="96"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Our centers of operations in Marlborough, Massachusetts and Berlin, Germany coordinate all service functions for North America and Europe, respectively, through dedicated technical service personnel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customer service call centers. We aim to provide high-level support to our customers to build long-standing relationships. The following are the main categories of service and customer support functions that we provide:</w:t>
      </w:r>
    </w:p>
    <w:p>
      <w:pPr>
        <w:spacing w:after="0" w:line="51" w:lineRule="exact"/>
        <w:rPr>
          <w:sz w:val="20"/>
          <w:szCs w:val="20"/>
          <w:color w:val="auto"/>
        </w:rPr>
      </w:pPr>
    </w:p>
    <w:p>
      <w:pPr>
        <w:ind w:left="780" w:right="100" w:hanging="326"/>
        <w:spacing w:after="0" w:line="306"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Training. </w:t>
      </w:r>
      <w:r>
        <w:rPr>
          <w:rFonts w:ascii="Arial" w:cs="Arial" w:eastAsia="Arial" w:hAnsi="Arial"/>
          <w:sz w:val="16"/>
          <w:szCs w:val="16"/>
          <w:color w:val="auto"/>
        </w:rPr>
        <w:t>We provide on-site, hands-on, basic and advanced technical training for health care providers. These providers, who then train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users, are subject to rigorous training and certification requirements. We have also implemented a rigorous, multi-level training and licensure program for users and their companions. We believe that these training programs serve an important safety and support function.</w:t>
      </w:r>
    </w:p>
    <w:p>
      <w:pPr>
        <w:spacing w:after="0" w:line="25" w:lineRule="exact"/>
        <w:rPr>
          <w:rFonts w:ascii="Arial" w:cs="Arial" w:eastAsia="Arial" w:hAnsi="Arial"/>
          <w:sz w:val="16"/>
          <w:szCs w:val="16"/>
          <w:color w:val="auto"/>
        </w:rPr>
      </w:pPr>
    </w:p>
    <w:p>
      <w:pPr>
        <w:ind w:left="780" w:right="360" w:hanging="326"/>
        <w:spacing w:after="0" w:line="259"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Communications Centers. </w:t>
      </w:r>
      <w:r>
        <w:rPr>
          <w:rFonts w:ascii="Arial" w:cs="Arial" w:eastAsia="Arial" w:hAnsi="Arial"/>
          <w:sz w:val="18"/>
          <w:szCs w:val="18"/>
          <w:color w:val="auto"/>
        </w:rPr>
        <w:t>We operate communications centers in our U.S. and Germany locations, which provide support hotlines,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periodic, preventive servicing. Outside of our direct markets, service functions are generally coordinated through our third-party distributors.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Spare Parts and Logistics Channels. </w:t>
      </w:r>
      <w:r>
        <w:rPr>
          <w:rFonts w:ascii="Arial" w:cs="Arial" w:eastAsia="Arial" w:hAnsi="Arial"/>
          <w:sz w:val="16"/>
          <w:szCs w:val="16"/>
          <w:color w:val="auto"/>
        </w:rPr>
        <w:t>We operate warehouses in the U.S., Germany and Israel, which house our inventory, parts and accessories.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market in which we operate is characterized by active competition and rapid technological change, and we expect competition to increase. Competition arises from providers of other mobility systems and prosthetic devices.</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are aware of a number of other companies developing competing technology and devices, and some of these competitors may have greater resources, greater name recognition, broader product lines, or larger customer bases than we do. Our principal competitors in the medical exoskeleton market consist of Ekso Bionics (OTC: EKSO), Rex Bionics (London Stock Exchange: RXB), Cyberdyne (Tokyo Stock Exchange: 7779), and Parker Hannifin (NYSE: PH). We believe we have key competitive advantages over these companies, such as our tilt-sensor technology that provides a self-initiated walking experience, more natural gait and functional walking speed, slimmer and lighter design, ReWalk’s ability to support its own weight and broad user specifications. Additionally, we are not aware of any medical exoskeleton product that is cleared or in the process of seeking clearance from the FDA for personal use. ReWalk Personal is the first medical exoskeleton cleared by the FDA for personal use in the United States.</w:t>
      </w:r>
    </w:p>
    <w:p>
      <w:pPr>
        <w:spacing w:after="0" w:line="3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we compete with alternative devices and alternative therapies, including treadmill-based gait therapies, such as those offered by Hocoma, AlterG, Aretech and Reha Technology. Other medical device or robotics companies, academic and research institutions, or others may develop new technologies or therapies that provide a superior walking experience, are more effective in treating the secondary medical conditions that we target or are less expensive than our current or future products. Our technologies and products could be rendered obsolete by such developments.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also compete with other treatments and technologies that address the secondary medical conditions that ReWalk seeks to mitigate.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Protection of our intellectual property is important to our business. We seek to protect our intellectual property through a combination of patents, trademarks, confidentiality and invention assignment agreements with our employees and certain of our contractors and confidentiality agreements with certain of our consultants, scientific advisors and other vendors and contractors. In addition, we rely on trade secrets law to protect our proprietary software and product candidates/products in development.</w:t>
      </w:r>
    </w:p>
    <w:p>
      <w:pPr>
        <w:spacing w:after="0" w:line="6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August 1, 2014, we have three issued method and device patents in the United States and Europe on our tilt sensor technology. We have apparatus patent claims in the United States and Europe covering the design of ReWalk and similar devices which use a plurality of sensors to empower tilt-sensor technology. In addition, in the United States, we have method patent claims covering certain methods of user activation and control of systems such as ReWalk, including by sensing the users’ torso lean or weight shifts. While our apparatus claims focus on protecting ReWalk in terms of its physical and structural characteristics, we believe that our method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claims, which protect the process behind how ReWalk is controlled by the user, provide additional protection for our tilt sensor technology. We also have six pending patent applications in various countries around the world covering supporting technology with respect to our existing ReWalk systems and planned future products, including one pending international application filed under the Patent Cooperation Treaty, which provides an applicant one filing date for patent applications that may be filed in 148 countries. We do not currently license any of the technology contained in our products other than with respect to technology that is generally publicly available, but we may do so in the future.</w:t>
      </w:r>
    </w:p>
    <w:p>
      <w:pPr>
        <w:spacing w:after="0" w:line="6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Patents filed both in the United States and Europe generally have a life of 20 years from the filing date. As the oldest of our issued patents relating to our tilt-sensor technology was filed in May 2001, our patents on that technology do not begin to expire until May 2021.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hold a registered trademark in Israel for the mark “ReWalk” and are in the process of registering this trademark in the United States.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employment agreement of our founder, Dr. Amit Goffer, provides that a patent pending relating to a standing wheelchair is his individual property and that he may independently engage in the development of a standing wheelchair. The agreement also provides that we and any of our affiliates or successors have the royalty-free right to the exclusive use in the field of exoskeletons of any intellectual property developed by Dr. Goffer, alone or jointly with others (whether or not as part of the development of a standing wheelchair and whether or not developed through a company), while he is our employee, consultant or board member and for three years thereafter. See “Certain Relationships and Related Party Transactions—Arrangements with Founder.”</w:t>
      </w:r>
    </w:p>
    <w:p>
      <w:pPr>
        <w:spacing w:after="0" w:line="3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cannot be sure that our intellectual property will provide us with a competitive advantage or that we will not infringe on the intellectual property rights of others. In addition, we cannot be sure that any patents will be granted in a timely manner or at all with respect to any of our patent pending applications. For a more comprehensive discussion of the risks related to our intellectual property, see “Risk Factors—Risks Related to Our Intellectual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medical products and manufacturing operations are subject to regulation by the FDA and other federal and state agencies. Our products are regulated as medical devices in the United States under the Federal Food, Drug, and Cosmetic Act, or FFDCA, as implemented and enforced by the FDA. The FDA regulates the development, testing, manufacturing, labeling, storage, installation, servicing, advertising, promotion, marketing, distribution, import, export, and market surveillance of our medical devices.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Regulation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a substantial equivalence determination under a 510(k) premarket notification submission, or an approval of a premarket approval application (PMA). Under the FFDCA, medical devices are classified into one of three classes—Class I, Class II or Class III—depending on the degree of risk associated with each medical device and the extent of control needed to provide reasonable assurance of safety and effectiveness. Classification of a device is important because the class to which a device is assigned determines, among other things, the necessity and type of FDA review required prior to marketing the device. Class I devices are those for which reasonable assurance of safety and effectiveness can be assured by adherence to general controls that include compliance with the applicable portions of the FDA’s Quality System Regulation, or QSR, facility registration and product listing, reporting of adverse medical events, and appropriate, truthful and non-misleading labeling, advertising, and promotional materials. Class I also includes devices for which there is insufficient information to determine that general controls are sufficient to provide reasonable assurance of the safety and effectiveness of the device or to establish special controls to provide such assurance, but that are not life-supporting or life-sustaining or for a use which is of substantial importance in preventing impairment of human health, and that do not present a potential unreasonable risk of illness of injury.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Class II devices are those for which general controls alone are insufficient to provide reasonable assurance of safety and effectiveness and there is sufficient information to establish “special controls.” These special controls can include performance standards, postmarket surveillance, patient registries and FDA guidance documents. While most Class I devices are exempt from the 510(k) premarket notification requirement, only about 60 types of Class II devices are exempt from premarket notification. As a result, manufacturers of most Class II devices are required to submit to the FDA premarket notifications under Section 510(k) of the FFDCA requesting classification of their devices in order to market or commercially distribute those devices. To obtain a 510(k), a substantial equivalence determination for their devices, manufacturers must submit to the FDA premarket notifications demonstrating that the proposed device is “substantially equivalent” to a predicate device already on the market. A predicate device is a legally marketed device that is not subject to premarket approval, </w:t>
      </w:r>
      <w:r>
        <w:rPr>
          <w:rFonts w:ascii="Arial" w:cs="Arial" w:eastAsia="Arial" w:hAnsi="Arial"/>
          <w:sz w:val="16"/>
          <w:szCs w:val="16"/>
          <w:i w:val="1"/>
          <w:iCs w:val="1"/>
          <w:color w:val="auto"/>
        </w:rPr>
        <w:t>i.e.</w:t>
      </w:r>
      <w:r>
        <w:rPr>
          <w:rFonts w:ascii="Arial" w:cs="Arial" w:eastAsia="Arial" w:hAnsi="Arial"/>
          <w:sz w:val="16"/>
          <w:szCs w:val="16"/>
          <w:color w:val="auto"/>
        </w:rPr>
        <w:t>, a device that was legally marketed prior to May 28, 1976 (pre-amendments device) and for which a PMA is not required, a device that has been reclassified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from Class III to Class II or I, or a device that was found substantially equivalent through the 510(k) process. If the FDA agrees that the device is substantially equivalent to a predicate device currently on the market, it will grant 510(k) clearance to commercially market the device. If the device is not “substantially equivalent” to a previously cleared device, the device is automatically a Class III device. The device sponsor must then fulfill more rigorous premarket approval requirements, or can request a risk-based classification determination for the device in accordance with the “de novo” process, which is a route to market for medical devices that are low to moderate risk, but are not substantially equivalent to a predicate device.</w:t>
      </w:r>
    </w:p>
    <w:p>
      <w:pPr>
        <w:spacing w:after="0" w:line="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Devices that are intended to be life sustaining or life supporting, devices that are implantable, devices that present a potential unreasonable risk of harm or are of substantial importance in preventing impairment of health, and devices that are not substantially equivalent to a predicate device are placed in Class III and generally require approval of a PMA, unless the device is a pre-amendment device not subject to a regulation requiring premarket approval. The PMA process is more demanding than the 510(k) premarket notification process. In a PMA, the manufacturer must demonstrate that the device is safe and effective, and the PMA must be supported by extensive data, including data from preclinical studies and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FFDCA to complete its review of a PMA, although in practice, the FDA’s review often takes significantly longer, and can take up to several years.</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Clinical trials are almost always required to support PMAs and are sometimes required to support 510(k) submissions. All clinical investigations of devices to determine safety and effectiveness must be conducted in accordance with the FDA’s investigational device exemption, or IDE, regulations that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to the FDA,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or IRB, for each clinical site.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w:t>
      </w:r>
    </w:p>
    <w:p>
      <w:pPr>
        <w:spacing w:after="0" w:line="4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We currently distribute ReWalk product to medical/rehabilitation institutions and take the position that the ReWalk for this use qualifies as powered exercise equipment, which is a Class I device and does not require a 510(k). Although the FDA disagrees with this position, the agency is exercising enforcement discretion, </w:t>
      </w:r>
      <w:r>
        <w:rPr>
          <w:rFonts w:ascii="Arial" w:cs="Arial" w:eastAsia="Arial" w:hAnsi="Arial"/>
          <w:sz w:val="18"/>
          <w:szCs w:val="18"/>
          <w:i w:val="1"/>
          <w:iCs w:val="1"/>
          <w:color w:val="auto"/>
        </w:rPr>
        <w:t>i.e.</w:t>
      </w:r>
      <w:r>
        <w:rPr>
          <w:rFonts w:ascii="Arial" w:cs="Arial" w:eastAsia="Arial" w:hAnsi="Arial"/>
          <w:sz w:val="18"/>
          <w:szCs w:val="18"/>
          <w:color w:val="auto"/>
        </w:rPr>
        <w:t xml:space="preserve">, it is permitting us to continue to distribute the ReWalk to institutions for therapeutic use. This exercise of enforcement discretion is in the context of our working with the FDA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obtain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classification determination for the ReWalk for uses that go beyond the institutional/rehabilitation setting, potentially leading to a limited community ambulation use. We submitted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petition to the FDA in June 2013 and have had ongoing communications with the agency, including an in-person meeting in October 2013.</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2014, the FDA granted our petition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which is a route to market for medical devices that are low to moderate risk, but are not substantially equivalent to a predicate device, and classified ReWalk as Class II subject to special controls. The special controls established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order include compliance with medical device consensus standards; performance of a postmarket surveillance clinical study demonstrating a reasonable assurance of safety and effectiveness in urban terrain; non-clinical performance testing of the system’s function and durability; a training program; and labeling related to device use and user training. The special controls of this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order will also apply to competing products seeking FDA clearance.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Regulation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a device is cleared for marketing, and prior to marketing, numerous regulatory requirements apply. These include:</w:t>
      </w:r>
    </w:p>
    <w:p>
      <w:pPr>
        <w:spacing w:after="0" w:line="90"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 of a quality assurance system, including establishing and implementing procedures to design and manufacture devices;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labeling regulations that prohibit the promotion of products for unapproved or “off-label” uses and impose other restrictions on labeling; and</w:t>
      </w:r>
    </w:p>
    <w:p>
      <w:pPr>
        <w:spacing w:after="0" w:line="113" w:lineRule="exact"/>
        <w:rPr>
          <w:rFonts w:ascii="Arial" w:cs="Arial" w:eastAsia="Arial" w:hAnsi="Arial"/>
          <w:sz w:val="16"/>
          <w:szCs w:val="16"/>
          <w:color w:val="auto"/>
        </w:rPr>
      </w:pPr>
    </w:p>
    <w:p>
      <w:pPr>
        <w:ind w:left="780" w:right="160" w:hanging="326"/>
        <w:spacing w:after="0" w:line="298"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report to the FDA field corrections and product recalls or removals if undertaken to reduce a risk to health posed by the device or to remedy a violation of the U.S. Food, Drug and Cosmetic Act that may present a risk to health.</w:t>
      </w:r>
    </w:p>
    <w:p>
      <w:pPr>
        <w:spacing w:after="0" w:line="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manufacturing processes are required to comply with the applicable portions of the Quality System Regulation that covers the methods and the facilities and controls for the design, manufacture, testing, production, processes, controls, quality assurance, labeling, packaging, distribution, installation and servicing of finished devices intended for human use. We actively maintain compliance with the FDA’s Quality System Regulation, 21 CFR Part 820, and the European Union’s Quality Management Systems requirements, ISO 13485:2003.</w:t>
      </w:r>
    </w:p>
    <w:p>
      <w:pPr>
        <w:spacing w:after="0" w:line="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a manufacturer, we are subject to periodic scheduled or unscheduled inspections by the FDA. If the FDA believes we or any of our contract manufacturers are not in compliance with the quality system requirements, or other postmarket requirements, it has significant enforcement authority. Specifically, if the FDA determines that we failed to comply with applicable regulatory requirements, it can take a variety of compliance or enforcement actions, which may result in any of the following sanctions:</w:t>
      </w:r>
    </w:p>
    <w:p>
      <w:pPr>
        <w:spacing w:after="0" w:line="62"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Any such action by the FDA would have a material adverse effect on our business. In addition, these regulatory controls, as well as any changes in FDA policies, can affect the time and cost associated with the development, introduction and continued availability of new products. Where possible, we anticipate these factors in our product development processes.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addition to regulations in the United States, we are subject to a variety of foreign regulations governing clinical trials and commercial sales and distribution of our products. In particular, we are subject to regulation by in the E.U. which has directives and standards regulating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 and, accordingly, can be commercially distributed throughout Europe. The method of assessing conformity varies depending on the class of the product, but normally involves a combination of self-assessment by the manufacturer and a third party assessment by a “Notified Body.” This third party assessment may consist of an audit of the manufacturer’s quality system or specific testing of the manufacturer’s product. We comply with the E.U. requirements and have received the CE mark for all of our ReWalk systems distributed in the E.U.</w:t>
      </w:r>
    </w:p>
    <w:p>
      <w:pPr>
        <w:spacing w:after="0" w:line="3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are also subject to regulation in certain Asian markets in connection with our distribution agreement with Yaskawa. Pursuant to such agreement, Yaskawa has the rights to distribute ReWalk in Japan, China, Taiwan, Korea, Singapore and Thailand. The Japanese Ministry of Health, Labour and Welfare, or the MHLW, approved ReWalk in February 2014 as a welfare device due to its ability to restore mobility to users. Yaskawa has begun evaluating ReWalk at several hospitals and, with such approval of MHLW, Yaskawa may begin selling ReWalk in Japan. In each other country listed above, we will need to obtain approval from the relevant governmental agency prior to marketing ReWalk. We have begun to evaluate the approval process in China and Taiwan, but have not yet begun to do so in Korea, Singapore or Thailand. We expect that obtaining the necessary approvals in these countries could take between one and a half and two years after we submit the initial application.</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Foreign sales outside of the E.U. and the Asian markets described above are subject to the foreign government regulations of the relevant jurisdiction, and we must obtain approval by the appropriate regulatory authorities before we can commence clinical trials or marketing activities in those countries. The approval process varies from country to country, and the time may be longer or shorter than that required to obtain a marketing authorization in the U.S., the E.U. or the Asian markets described above. The requirements governing the conduct of clinical trials, product licensing, pricing and reimbursement vary greatly from country to country.</w:t>
      </w:r>
    </w:p>
    <w:p>
      <w:pPr>
        <w:spacing w:after="0" w:line="6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policies of the FDA and foreign regulatory authorities may change and additional government regulations may be enacted that could prevent or delay regulatory approval of our products and could also increase the cost of regulatory compliance. We cannot predict the likelihood, nature or extent of adverse governmental regulation that might arise from future legislative or administrative action, either in the United States or abroad.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Anti-kickback, False Claims and Other Healthcare Fraud and Abuse Laws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the United States, there are federal and state anti-kickback laws that prohibit the payment or receipt of kickbacks, bribes or other remuneration intended to induce the purchase or recommendation of healthcare products and services. Violations of these laws can lead to civil and criminal penalties, including exclusion from participation in federal healthcare programs. These laws apply to manufacturers of products, such as us, with respect to our financial relationship with hospitals, physicians and other potential purchasers or acquirers of our products. The U.S. government has published regulations that identify “safe harbors” or exemptions for certain practices from enforcement actions under the federal anti-kickback statute, and we will seek to comply with the safe harbors where possible. To qualify for a safe harbor, the activity must fit squarely within the safe harbor. Arrangements that do not meet a safe harbor are not necessarily illegal, but must be evaluated on a case by case basis. Other provisions of state and federal law provide civil and criminal penalties for presenting, or causing to be presented, to third-party payers for reimbursement claims that are false or fraudulent, or for items or services that were not provided as claimed. False claims allegations under federal and some state laws may be brought on behalf of the government by private persons, “whistleblowers,” who then receive a share of any recovery.</w:t>
      </w:r>
    </w:p>
    <w:p>
      <w:pPr>
        <w:spacing w:after="0" w:line="4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Affordability Reconciliation Act, or collectively, the PPACA. The PPACA, among other things, amends the intent requirement of the federal anti-kickback and criminal healthcare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fraud statutes. A person or entity no longer needs to have actual knowledge of these statutes or specific intent to violate them. In addition, the PPACA provides that the government may assert that a claim that includes items or services resulting from a violation of the federal anti-kickback statute constitutes a false or fraudulent claim for purposes of the False Claims Act. The PPACA also imposes new reporting and disclosure requirements on device manufacturers for any “transfer of value” made or distributed to physicians and teaching hospitals. Device manufacturers will also be required to report and disclose any investment interests held by physicians and their immediate family members during the preceding calendar year. A number of provisions of PPACA also reflect increased focus on and funding of healthcare fraud enforcement.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subject to various environmental, health and safety laws and regulations, including those governing air emissions, water and wastewater discharges, noise emissions, the use, transport, management and disposal of chemicals and hazardous materials, the import, export and registration of chemicals, and the cleanup of contaminated sites. Based on information currently available to us, we do not expect environmental costs and contingencies to have a material adverse effect on us. The operation of our business and facilities, however, entails risks in these areas. Significant expenditures could be required in the future to comply with environmental or health and safety laws, regulations or requirements.</w:t>
      </w:r>
    </w:p>
    <w:p>
      <w:pPr>
        <w:spacing w:after="0" w:line="3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Israel, where our contract manufacturer produces all of our products, businesses storing or using certain hazardous materials (including materials necessary for our manufacturing process) are required, pursuant to the Israeli Dangerous Substances Law 5753-1993, to obtain a toxin permit from the Ministry of Environmental Protection.</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products and certain components of such products “put on the market” in the EU (whether or not manufactured in the EU) are subject to these directives. Additionally, we are required to comply with certain laws, regulations and directives, including the Toxic Substances Control Act in the United States and REACH in the EU, governing chemicals. These and similar laws and regulations require the testing, reporting and registration of certain chemicals we use and ship. We believe we are in compliance in all material respects with applicable environmental laws and regulations.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Manufacturing and Suppliers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Our corporate headquarters are located in Yokneam, Israel, our U.S. headquarters are located in Marlborough, Massachusetts, and our European headquarters are located in Berlin, Germany.</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of our facilities are leased and we do not own any real property. The table below sets forth details of the square footage of our current leased properties, all of which are fully utilized. We have no material tangible fixed assets apart from the properties described below.</w:t>
      </w:r>
    </w:p>
    <w:p>
      <w:pPr>
        <w:spacing w:after="0" w:line="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Square feet</w:t>
            </w:r>
          </w:p>
        </w:tc>
      </w:tr>
      <w:tr>
        <w:trPr>
          <w:trHeight w:val="161"/>
        </w:trPr>
        <w:tc>
          <w:tcPr>
            <w:tcW w:w="65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(approximate)</w:t>
            </w:r>
          </w:p>
        </w:tc>
      </w:tr>
      <w:tr>
        <w:trPr>
          <w:trHeight w:val="210"/>
        </w:trPr>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Marlborough, Massachusetts</w:t>
            </w:r>
          </w:p>
        </w:tc>
        <w:tc>
          <w:tcPr>
            <w:tcW w:w="11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3,300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Yokneam, Israel</w:t>
            </w: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Berlin, Germany</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10,170</w:t>
            </w:r>
          </w:p>
        </w:tc>
        <w:tc>
          <w:tcPr>
            <w:tcW w:w="120" w:type="dxa"/>
            <w:vAlign w:val="bottom"/>
          </w:tcPr>
          <w:p>
            <w:pPr>
              <w:spacing w:after="0"/>
              <w:rPr>
                <w:sz w:val="19"/>
                <w:szCs w:val="19"/>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facilities are adequate and suitable for our current needs.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ReWalk includes off-the-shelf and custom-made components produced to our specifications by various third parties, for technical and cost effectiveness. We have contracted with Sanmina Corporation, a well-established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contract manufacturer with expertise in the medical device industry, for the manufacture of all of our products. Pursuant to this contract, Sanmina manufactures ReWalk at its facility in Ma’alot, Israel. All ReWalk Personal units are manufactured pursuant to the same set of specifications, and all ReWalk Rehabilitation units are manufactured pursuant to another set. We place our manufacturing orders with Sanmina pursuant to purchase orders or by providing forecasts for future requirements. Sanmina requires us to send an advance payment for components with respect to each purchase order. We may terminate our relationship with Sanmina at any time upon written notice. Either we or Sanmina may terminate the relationship in the event of a material breach, subject to a 30-day cure period. Our agreement with Sanmina contains a limitation on liability that applies equally to both us and Sanmina.</w:t>
      </w:r>
    </w:p>
    <w:p>
      <w:pPr>
        <w:spacing w:after="0" w:line="3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this relationship allows us to operate our business efficiently by focusing our internal efforts on the development of our technology and our products and provides us with substantial scale-up capacity. We regularly test quality on-site at Sanmina’s facility and we obtain full quality inspection reports. We maintain a non-disclosure agreement with Sanmina.</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develop certain of the software components internally and license other software components that are generally available for commercial use as open source software.</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manufacture products based upon internal sales forecasts. We deliver products to customers and distributors based upon purchase orders received, and our goal is to fulfill each customer’s order for products in regular production within two weeks of receipt of the order.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contracted with Sanmina for the sourcing of all components and raw materials necessary for the manufacture of our products. Components of our products and raw materials come from suppliers in Europe, China and Israel, and we depend on certain of these components and raw materials, including certain electronic parts, for the manufacture of our products. To date, we have not experienced significant volatility in the prices of these components and raw materials. However, such prices are subject to a number of factors, including purchase volumes, general economic conditions, currency exchange rates, industry cycles, production levels and scarcity of supply.</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our and Sanmina’s facilities, our contracted manufacturing arrangement, and our supply arrangements are sufficient to support our potential capacity needs for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August 1, 2014, we had 63 employees, of whom 19 are located in the United States, 33 are located in Israel and 11 are located in Germany. The majority of our employees are engaged in sales and marketing and research and development activities. We do not employ a significant number of temporary or part time employees.</w:t>
      </w:r>
    </w:p>
    <w:p>
      <w:pPr>
        <w:spacing w:after="0" w:line="5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subject to Israeli labor laws and regulations with respect to our employees located in Israel. These laws and regulations principally concern matters such as pensions, paid annual vacation, paid sick days, length of the workday and work week, minimum wages, overtime pay, insurance for work-related accidents, severance pay and other conditions of employment. Our employees are not represented by a labor union. We consider our relationship with our employees to be good. To date, we have not experienced any work stoppages.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employees of our U.S. and German subsidiaries are subject to local labor laws and regulations.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From time to time, we are involved in various routine legal proceedings incidental to the ordinary course of our business. We do not believe that the outcomes of these legal proceedings have had in the recent past, or will have (with respect to any pending proceedings), significant effects on our financial position or profitability.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September 2013, a claim was filed against us and the University of Utah Hospital and Medical Center (UUHMC) in the Third Judicial District Court for the County of Salt Lake, State of Utah, in connection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allegations made by a ReWalk user who was injured while using ReWalk. The plaintiff claims that in April 2013 the ReWalk malfunctioned while transitioning from sitting to standing mode and is seeking damages totaling $2.9 million from us and UUHMC for an injury she alleges was caused by such malfunction. We believe that we have valid defenses to the claim. We are currently engaged in discovery with respect to this matter. The outcome of litigation is inherently uncertain, but we have accrued an amount in respect of the reasonably estimable probable losses from this claim. We do not believe that the legal proceeding, if adversely decided against us, will have a material adverse effect on our financial position.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560" w:type="dxa"/>
            <w:vAlign w:val="bottom"/>
          </w:tcPr>
          <w:p>
            <w:pPr>
              <w:spacing w:after="0"/>
              <w:rPr>
                <w:sz w:val="15"/>
                <w:szCs w:val="15"/>
                <w:color w:val="auto"/>
              </w:rPr>
            </w:pPr>
          </w:p>
        </w:tc>
      </w:tr>
      <w:tr>
        <w:trPr>
          <w:trHeight w:val="203"/>
        </w:trPr>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Larry Jasinski</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56</w:t>
            </w:r>
          </w:p>
        </w:tc>
        <w:tc>
          <w:tcPr>
            <w:tcW w:w="220" w:type="dxa"/>
            <w:vAlign w:val="bottom"/>
            <w:tcBorders>
              <w:top w:val="single" w:sz="8" w:color="CCEEFF"/>
            </w:tcBorders>
            <w:shd w:val="clear" w:color="auto" w:fill="CCEEFF"/>
          </w:tcPr>
          <w:p>
            <w:pPr>
              <w:spacing w:after="0"/>
              <w:rPr>
                <w:sz w:val="17"/>
                <w:szCs w:val="17"/>
                <w:color w:val="auto"/>
              </w:rPr>
            </w:pPr>
          </w:p>
        </w:tc>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Dr. Amit Goffer</w:t>
            </w:r>
          </w:p>
        </w:tc>
        <w:tc>
          <w:tcPr>
            <w:tcW w:w="240" w:type="dxa"/>
            <w:vAlign w:val="bottom"/>
          </w:tcPr>
          <w:p>
            <w:pPr>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Founder, President, Chief Technical Officer and Director</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 Kraft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Ofir Koren</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Vice President, Research &amp; Development</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Jodi Gricci</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Global Marketing</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Ori Schellas</w:t>
            </w:r>
          </w:p>
        </w:tc>
        <w:tc>
          <w:tcPr>
            <w:tcW w:w="240" w:type="dxa"/>
            <w:vAlign w:val="bottom"/>
          </w:tcPr>
          <w:p>
            <w:pPr>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 of Operations</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Hamilton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Regulatory and Clinical</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Miri Pariente</w:t>
            </w:r>
          </w:p>
        </w:tc>
        <w:tc>
          <w:tcPr>
            <w:tcW w:w="240" w:type="dxa"/>
            <w:vAlign w:val="bottom"/>
          </w:tcPr>
          <w:p>
            <w:pPr>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Global Director of Quality</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Dykan(3)(4)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Dr. Hadar Ron(4)</w:t>
            </w:r>
          </w:p>
        </w:tc>
        <w:tc>
          <w:tcPr>
            <w:tcW w:w="24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Asaf Shinar(1)(4)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Wayne B. Weisman(2)(4)</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Aryeh (Arik) Dan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Yasushi Ichiki</w:t>
            </w:r>
          </w:p>
        </w:tc>
        <w:tc>
          <w:tcPr>
            <w:tcW w:w="24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Muir(1)(2)(3)(4)(5)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Dr. John William Poduska(1)(2)(4)(5)</w:t>
            </w:r>
          </w:p>
        </w:tc>
        <w:tc>
          <w:tcPr>
            <w:tcW w:w="240" w:type="dxa"/>
            <w:vAlign w:val="bottom"/>
          </w:tcPr>
          <w:p>
            <w:pPr>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our nominating and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Proposed to serve as an external director under the Israeli Companies Law subject to approval by our shareholders.</w:t>
      </w:r>
    </w:p>
    <w:p>
      <w:pPr>
        <w:spacing w:after="0" w:line="8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Larry Jasinski </w:t>
      </w:r>
      <w:r>
        <w:rPr>
          <w:rFonts w:ascii="Arial" w:cs="Arial" w:eastAsia="Arial" w:hAnsi="Arial"/>
          <w:sz w:val="16"/>
          <w:szCs w:val="16"/>
          <w:color w:val="auto"/>
        </w:rPr>
        <w:t>has served as our Chief Executive Officer and as a member of our board since February 2012. From 2005 until 2012, Mr. Jasinski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President and Chief Executive Officer of Soteira, Inc., a company engaged in development and commercialization of products used to treat individuals with vertebral compression fractures, which was acquired by Globus Medical in 2012. From 2001 to 2005, Mr. Jasinski was President and Chief Executive Officer of Cortek, Inc., a company that developed next-generation treatments for degenerative disc disease, which was acquired by Alphatec in 2005. From 1985 until 2001, Mr. Jasinski served in multiple sales, research and development, and general management roles at Boston Scientific Corporation. Mr. Jasinski holds a B.Sc. in marketing from Providence College and an MBA from the University of Bridgeport.</w:t>
      </w:r>
    </w:p>
    <w:p>
      <w:pPr>
        <w:spacing w:after="0" w:line="3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Dr. Amit Goffer </w:t>
      </w:r>
      <w:r>
        <w:rPr>
          <w:rFonts w:ascii="Arial" w:cs="Arial" w:eastAsia="Arial" w:hAnsi="Arial"/>
          <w:sz w:val="16"/>
          <w:szCs w:val="16"/>
          <w:color w:val="auto"/>
        </w:rPr>
        <w:t>is the inventor of ReWalk and has served as our President and Chief Technical Officer since February 2012 and as a member of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2001. Dr. Goffer founded us in 2001 and served as our Chief Executive Officer and Chief Technical Officer until 2012. Prior to founding us, Dr. Goffer founded Odin Medical Technologies Ltd. and served as its President and Chief Executive Officer. Odin was acquired by Medtronic Inc. in 2006. Dr. Goffer holds a B.Sc. in electrical and computer engineering from Technion—Israel Institute of Technology, an M.Sc. in electrical and computer engineering from Tel Aviv University and a Ph.D. in electrical and computer engineering from Drexel University.</w:t>
      </w:r>
    </w:p>
    <w:p>
      <w:pPr>
        <w:spacing w:after="0" w:line="3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Ami Kraft </w:t>
      </w:r>
      <w:r>
        <w:rPr>
          <w:rFonts w:ascii="Arial" w:cs="Arial" w:eastAsia="Arial" w:hAnsi="Arial"/>
          <w:sz w:val="18"/>
          <w:szCs w:val="18"/>
          <w:color w:val="auto"/>
        </w:rPr>
        <w:t>has served as our Chief Financial Officer since January 2009. Before joining us, Mr. Kraft served as the Chief Financial Officer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technology companies, including PicScout, which was bought by Getty Images while he was serving as CFO, IC4IC, Zoran Corporation, where he was actively involved in their IPO, and Kulicke &amp; Soffa Inc., where he served for over 20 years. Mr. Kraft holds a B.A. in public accounting from Haifa University and an MBA from Stanford University.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Ofir Koren </w:t>
      </w:r>
      <w:r>
        <w:rPr>
          <w:rFonts w:ascii="Arial" w:cs="Arial" w:eastAsia="Arial" w:hAnsi="Arial"/>
          <w:sz w:val="18"/>
          <w:szCs w:val="18"/>
          <w:color w:val="auto"/>
        </w:rPr>
        <w:t>has served as our Vice President, Research and Development since joining us in February 2013. From 2009 to 2013, Mr. Koren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of RuggedCOM Israel, a developer of communications equipment. From 2007 to 2009, he served as the Vice President of Research and Development of Alvarion Technologies Ltd., an Israeli provider of wireless services. Mr. Koren holds a B.Sc. in electrical engineering from Tel Aviv University and an MBA from the University of Herriot Watt, Scotland.</w:t>
      </w:r>
    </w:p>
    <w:p>
      <w:pPr>
        <w:spacing w:after="0" w:line="6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Jodi Gricci </w:t>
      </w:r>
      <w:r>
        <w:rPr>
          <w:rFonts w:ascii="Arial" w:cs="Arial" w:eastAsia="Arial" w:hAnsi="Arial"/>
          <w:sz w:val="18"/>
          <w:szCs w:val="18"/>
          <w:color w:val="auto"/>
        </w:rPr>
        <w:t>has served as our Vice President, Global Marketing since June 2012. Prior to joining us, Ms. Gricci was the Managing Director of Soteria</w:t>
      </w:r>
      <w:r>
        <w:rPr>
          <w:rFonts w:ascii="Arial" w:cs="Arial" w:eastAsia="Arial" w:hAnsi="Arial"/>
          <w:sz w:val="18"/>
          <w:szCs w:val="18"/>
          <w:i w:val="1"/>
          <w:iCs w:val="1"/>
          <w:color w:val="auto"/>
        </w:rPr>
        <w:t xml:space="preserve"> </w:t>
      </w:r>
      <w:r>
        <w:rPr>
          <w:rFonts w:ascii="Arial" w:cs="Arial" w:eastAsia="Arial" w:hAnsi="Arial"/>
          <w:sz w:val="18"/>
          <w:szCs w:val="18"/>
          <w:color w:val="auto"/>
        </w:rPr>
        <w:t>GmbH, a medical device company based in Berlin, Germany, from November 2008 to June 2012.</w:t>
      </w:r>
    </w:p>
    <w:p>
      <w:pPr>
        <w:spacing w:after="0" w:line="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Ori Schellas </w:t>
      </w:r>
      <w:r>
        <w:rPr>
          <w:rFonts w:ascii="Arial" w:cs="Arial" w:eastAsia="Arial" w:hAnsi="Arial"/>
          <w:sz w:val="16"/>
          <w:szCs w:val="16"/>
          <w:color w:val="auto"/>
        </w:rPr>
        <w:t>has served as our Director of Operations since March 2014. Prior to joining us, he was the Vice President of Operations for HighSecLabs Ltd.</w:t>
      </w:r>
      <w:r>
        <w:rPr>
          <w:rFonts w:ascii="Arial" w:cs="Arial" w:eastAsia="Arial" w:hAnsi="Arial"/>
          <w:sz w:val="16"/>
          <w:szCs w:val="16"/>
          <w:i w:val="1"/>
          <w:iCs w:val="1"/>
          <w:color w:val="auto"/>
        </w:rPr>
        <w:t xml:space="preserve"> </w:t>
      </w:r>
      <w:r>
        <w:rPr>
          <w:rFonts w:ascii="Arial" w:cs="Arial" w:eastAsia="Arial" w:hAnsi="Arial"/>
          <w:sz w:val="16"/>
          <w:szCs w:val="16"/>
          <w:color w:val="auto"/>
        </w:rPr>
        <w:t>from 2013 to 2014 and the Director of Operations at LabStyle Innovations from May 2013 to October 2013. From 2008 to 2013, he was a supply chain manager at Medingo Ltd. Mr. Schellas holds a B.Sc. in industrial engineering from the Technion—Israel Institute of Technology.</w:t>
      </w:r>
    </w:p>
    <w:p>
      <w:pPr>
        <w:spacing w:after="0" w:line="2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John Hamilton </w:t>
      </w:r>
      <w:r>
        <w:rPr>
          <w:rFonts w:ascii="Arial" w:cs="Arial" w:eastAsia="Arial" w:hAnsi="Arial"/>
          <w:sz w:val="16"/>
          <w:szCs w:val="16"/>
          <w:color w:val="auto"/>
        </w:rPr>
        <w:t>has served as our Vice President, Regulatory and Clinical since he joined us in June 2012. From 2006 to 2012, he was Director,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at Soteira, Inc. Prior to that, he held a variety of management and engineering positions at Smith &amp; Nephew, Tensegra and Johnson &amp; Johnson. Mr. Hamilton holds a B.Sc. in chemistry from Canisius College and a M.Sc. in mechanical engineering from Northeastern University.</w:t>
      </w:r>
    </w:p>
    <w:p>
      <w:pPr>
        <w:spacing w:after="0" w:line="2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Miri Pariente </w:t>
      </w:r>
      <w:r>
        <w:rPr>
          <w:rFonts w:ascii="Arial" w:cs="Arial" w:eastAsia="Arial" w:hAnsi="Arial"/>
          <w:sz w:val="18"/>
          <w:szCs w:val="18"/>
          <w:color w:val="auto"/>
        </w:rPr>
        <w:t>joined ReWalk in April 2013 as our Global Director of Quality. From 2012 to 2013, Ms. Pariente was the Manager of Quality Assurance at</w:t>
      </w:r>
      <w:r>
        <w:rPr>
          <w:rFonts w:ascii="Arial" w:cs="Arial" w:eastAsia="Arial" w:hAnsi="Arial"/>
          <w:sz w:val="18"/>
          <w:szCs w:val="18"/>
          <w:i w:val="1"/>
          <w:iCs w:val="1"/>
          <w:color w:val="auto"/>
        </w:rPr>
        <w:t xml:space="preserve"> </w:t>
      </w:r>
      <w:r>
        <w:rPr>
          <w:rFonts w:ascii="Arial" w:cs="Arial" w:eastAsia="Arial" w:hAnsi="Arial"/>
          <w:sz w:val="18"/>
          <w:szCs w:val="18"/>
          <w:color w:val="auto"/>
        </w:rPr>
        <w:t>NLT Spine Ltd., a developer of minimally invasive spine procedures, and, from 2011 to 2012, was the Manager of Quality Assurance at ProAccess Medical Ltd. From 2002 to 2010, Ms. Pariente served in multiple roles within American Medical Systems including Production Supervisor and Lean Leader. Ms. Pariente holds a B.A. in business management from Derby University, England.</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Jeff Dykan </w:t>
      </w:r>
      <w:r>
        <w:rPr>
          <w:rFonts w:ascii="Arial" w:cs="Arial" w:eastAsia="Arial" w:hAnsi="Arial"/>
          <w:sz w:val="18"/>
          <w:szCs w:val="18"/>
          <w:color w:val="auto"/>
        </w:rPr>
        <w:t>has served on our board since 2006 and has been the Chairman of our board since 2009. He was appointed by our shareholder SCP Vitalife.</w:t>
      </w:r>
      <w:r>
        <w:rPr>
          <w:rFonts w:ascii="Arial" w:cs="Arial" w:eastAsia="Arial" w:hAnsi="Arial"/>
          <w:sz w:val="18"/>
          <w:szCs w:val="18"/>
          <w:i w:val="1"/>
          <w:iCs w:val="1"/>
          <w:color w:val="auto"/>
        </w:rPr>
        <w:t xml:space="preserve"> </w:t>
      </w:r>
      <w:r>
        <w:rPr>
          <w:rFonts w:ascii="Arial" w:cs="Arial" w:eastAsia="Arial" w:hAnsi="Arial"/>
          <w:sz w:val="18"/>
          <w:szCs w:val="18"/>
          <w:color w:val="auto"/>
        </w:rPr>
        <w:t>Mr. Dykan has been a director of the corporate general partner of the common general partner of Vitalife and its successor fund, SCP Vitalife, an Israeli venture capital fund, since 2002 and 2007, respectively. Prior to joining Vitalife, from 2001 to 2002, Mr. Dykan was the Chairman and Chief Executive Officer of BitBand Inc. Mr. Dykan is a member of the American Institute of CPAs and holds a B.Sc. in accounting and management and an MBA in computer applications, both from New York University.</w:t>
      </w:r>
    </w:p>
    <w:p>
      <w:pPr>
        <w:spacing w:after="0" w:line="6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Dr. Hadar Ron </w:t>
      </w:r>
      <w:r>
        <w:rPr>
          <w:rFonts w:ascii="Arial" w:cs="Arial" w:eastAsia="Arial" w:hAnsi="Arial"/>
          <w:sz w:val="16"/>
          <w:szCs w:val="16"/>
          <w:color w:val="auto"/>
        </w:rPr>
        <w:t>has served on our board since 2011. She was appointed by our shareholder Israel HealthCare Ventures. Dr. Ron has been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of Israel HealthCare Ventures, an Israeli venture capital fund, since March 2001. Dr. Ron currently serves as the Chairman of the Board of NiTi Surgical Solutions Ltd., novoGI Inc. and GI View Ltd. and as a Director of NanoPass Technologies Ltd., CorAssist CardioVascular Ltd., Gamida Cell Ltd., Home Skinovations Ltd., Yissum Research Development Company Ltd. and OrSense Ltd. Dr. Ron holds a M.D. and an LL.B from Tel Aviv University.</w:t>
      </w:r>
    </w:p>
    <w:p>
      <w:pPr>
        <w:spacing w:after="0" w:line="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i w:val="1"/>
          <w:iCs w:val="1"/>
          <w:color w:val="auto"/>
        </w:rPr>
        <w:t xml:space="preserve">Asaf Shinar </w:t>
      </w:r>
      <w:r>
        <w:rPr>
          <w:rFonts w:ascii="Arial" w:cs="Arial" w:eastAsia="Arial" w:hAnsi="Arial"/>
          <w:sz w:val="16"/>
          <w:szCs w:val="16"/>
          <w:color w:val="auto"/>
        </w:rPr>
        <w:t>has served on our board since 2011. He was appointed by our shareholder Pontifax. Since 2007, Mr. Shinar has been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Pontifax Group, an Israeli venture capital fund. Mr. Shinar also currently serves on the board of Hairstetics Ltd., Ocon Medical Ltd. and Se-cure Pharmaceuticals Ltd. Mr. Shinar holds a B.A. in accounting and business management from the College of Management Academic Studies, Israel.</w:t>
      </w:r>
    </w:p>
    <w:p>
      <w:pPr>
        <w:spacing w:after="0" w:line="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Wayne B. Weisman </w:t>
      </w:r>
      <w:r>
        <w:rPr>
          <w:rFonts w:ascii="Arial" w:cs="Arial" w:eastAsia="Arial" w:hAnsi="Arial"/>
          <w:sz w:val="16"/>
          <w:szCs w:val="16"/>
          <w:color w:val="auto"/>
        </w:rPr>
        <w:t>has served on our board since 2009. He was appointed by our shareholder SCP Vitalife. Since 2007, Mr. Weisman has been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corporate general partner of the common general partner of SCP Vitalife. He has also served as a managing member of SCP Vitalife Management Company, LLC, which by contract provides certain management services to the common general partner of SCP Vitalife. Mr. Weisman is Chairman of Recro Pharma, Inc. (Nasdaq: REPH), a clinical stage specialty pharmaceutical company developing non-opioid therapeutics for the treatment of pain. He also serves on the board of a number of private companies, including DIR Technologies, EndoSpan Ltd., Ivenix, Inc., and Echo360 Inc. He is the chairman of the boards of trustees of Young Scholars School and Young Scholars Frederick Douglass and Young Scholars Kenderton. He is also a board member of the Philadelphia-Israel Chamber of Commerce and Mid-Atlantic Diamond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Ventures, the venture forum of Temple University. Mr. Weisman holds a B.A. from the University of Pennsylvania and a J.D. from the University of Michigan Law School.</w:t>
      </w:r>
    </w:p>
    <w:p>
      <w:pPr>
        <w:spacing w:after="0" w:line="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Aryeh (Arik) Dan </w:t>
      </w:r>
      <w:r>
        <w:rPr>
          <w:rFonts w:ascii="Arial" w:cs="Arial" w:eastAsia="Arial" w:hAnsi="Arial"/>
          <w:sz w:val="18"/>
          <w:szCs w:val="18"/>
          <w:color w:val="auto"/>
        </w:rPr>
        <w:t>has served on our board since 2013</w:t>
      </w:r>
      <w:r>
        <w:rPr>
          <w:rFonts w:ascii="Arial" w:cs="Arial" w:eastAsia="Arial" w:hAnsi="Arial"/>
          <w:sz w:val="18"/>
          <w:szCs w:val="18"/>
          <w:i w:val="1"/>
          <w:iCs w:val="1"/>
          <w:color w:val="auto"/>
        </w:rPr>
        <w:t xml:space="preserve">. </w:t>
      </w:r>
      <w:r>
        <w:rPr>
          <w:rFonts w:ascii="Arial" w:cs="Arial" w:eastAsia="Arial" w:hAnsi="Arial"/>
          <w:sz w:val="18"/>
          <w:szCs w:val="18"/>
          <w:color w:val="auto"/>
        </w:rPr>
        <w:t>He was appointed by our shareholder Yaskawa. He has served as the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Yaskawa Europe Technology since 2005. Mr. Dan holds a B.Sc. in aeronautical engineering from the Technion—Israel Institute of Technology and an MBA from Keio University, Japan.</w:t>
      </w:r>
    </w:p>
    <w:p>
      <w:pPr>
        <w:spacing w:after="0" w:line="5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Yasushi Ichiki </w:t>
      </w:r>
      <w:r>
        <w:rPr>
          <w:rFonts w:ascii="Arial" w:cs="Arial" w:eastAsia="Arial" w:hAnsi="Arial"/>
          <w:sz w:val="16"/>
          <w:szCs w:val="16"/>
          <w:color w:val="auto"/>
        </w:rPr>
        <w:t>has served on our board since 2014. He was appointed by our shareholder Yaskawa. Mr. Ichiki has been the Manager of the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Group, Corporate Planning Division, of Yaskawa Electric Corporation since May 2014. Previously, from February 2010 to April 2014, he served as the General Manager of Corporate Planning, Robotics Division of Yaskawa Europe GmbH. Mr Ichiki holds a B.A. from Yamaguchi University, Japan.</w:t>
      </w:r>
    </w:p>
    <w:p>
      <w:pPr>
        <w:spacing w:after="0" w:line="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Glenn Muir </w:t>
      </w:r>
      <w:r>
        <w:rPr>
          <w:rFonts w:ascii="Arial" w:cs="Arial" w:eastAsia="Arial" w:hAnsi="Arial"/>
          <w:sz w:val="16"/>
          <w:szCs w:val="16"/>
          <w:color w:val="auto"/>
        </w:rPr>
        <w:t>has served on our board since July 2014 and is intended to serve as an external director under the Israeli Companies Law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ratification of his appointment at a meeting of our shareholders to be held no later than three months following the completion of this offering. Until May 2014, Mr. Muir served as Executive Vice President, Finance and Administration of Hologic, Inc. (NASDAQ: HOLX) since September 2000 and as Chief Financial Officer since 1992. Hologic is a manufacturer and supplier of premium diagnostics products, medical imaging systems and surgical products with an emphasis on serving the healthcare needs of women. Prior to that, Mr. Muir served as the Controller of Hologic from the time he joined in October 1988 through 1992 including during its initial public offering in 1990. Mr. Muir served as a director of Hologic from 2001 through 2013. Mr. Muir holds a B.B.A. with a major in accounting from the University of Massachusetts in Amherst, an M.B.A. from the Harvard Graduate School of Business Administration and an M. Sc. in taxation from Bentley College Graduate School of Business. Mr. Muir is also a certified public accountant.</w:t>
      </w:r>
    </w:p>
    <w:p>
      <w:pPr>
        <w:spacing w:after="0" w:line="3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Dr. John William Poduska </w:t>
      </w:r>
      <w:r>
        <w:rPr>
          <w:rFonts w:ascii="Arial" w:cs="Arial" w:eastAsia="Arial" w:hAnsi="Arial"/>
          <w:sz w:val="16"/>
          <w:szCs w:val="16"/>
          <w:color w:val="auto"/>
        </w:rPr>
        <w:t>is expected to be appointed to our board before the pricing of this offering and is intended to serve as an external director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Israeli Companies Law subject to the ratification of his appointment at a meeting of our shareholders to be held no later than three months following the completion of this offering. Dr. Poduska currently serves as a director of EXA Corporation (NASDAQ: EXA) where he serves as chairman of the compensation committee and a member of the nominating and governance committee. He also serves as a director on the boards of a number of privately-held companies. Dr. Poduska also served as a director of Novell, Inc. until 2011 and of Anadarko Petroleum Corporation and Safeguard Scientifics, Inc. until 2009. Dr. Poduska was the Chairman of Advanced Visual Systems Inc., a provider of visualization software, from January 1992 to December 2001. From December 1989 until December 1991, Dr. Poduska was President and Chief Executive Officer of Stardent Computer Inc., a computer manufacturer. From December 1985 until December 1989, Dr. Poduska served as Chairman and Chief Executive Officer of Stellar Computer Inc., a computer manufacturer he founded which is the predecessor of Stardent Computer Inc. Prior to founding Stellar Computer, Inc., Dr. Poduska founded Apollo Computer Inc. and Prime Computer, Inc. Dr. Poduska holds a Sc.D. from MIT and an Honorary Doctorate of Humane Letters from Lowell University.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Israeli Companies Law, companies incorporated under the laws of the State of Israel whose shares are publicly traded, including companies with shares listed only on the Nasdaq Global Market, are required to comply with various corporate governance requirements under Israeli law relating to matters such as external directors, the audit committee, the compensation committee and an internal auditor. These requirements are in addition to the corporate governance requirements imposed by the listing requirements of the Nasdaq Global Market and other applicable provisions of U.S. securities laws to which we will become subject (as a foreign private issuer) upon the closing of this offering and the listing of our ordinary shares on the Nasdaq Global Market. Under the listing requirements of the Nasdaq Global Market, as a foreign private issuer we may generally follow our home country rules of corporate governance in lieu of the comparable requirements of the listing requirements of the Nasdaq Global Market, except for certain matters including the composition and responsibilities of the audit committee and the independence of its members within the meaning of the rules and regulations of the SEC.</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currently intend to rely on this “home country practice exemption” solely with respect to the quorum requirement for shareholder meetings. As permitted under the Israeli Companies Law, pursuant to our articles of association to be effective upon the closing of this offering, the quorum required for an ordinary meeting of shareholders will consist of at least two shareholders present in person, by proxy or by other voting instrument in accordance with the Israeli Companies Law, who hold in the aggregate at least 25% of the voting power of our shares (and in an adjourned meeting, with some exceptions, any number of shareholders), instead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issued share capital required under the Nasdaq Global Market corporate governance rules. We otherwise intend to comply with the rules generally applicable to U.S. domestic companies listed on the Nasdaq Global Market. We may in the future decide to use the foreign private issuer exemption with respect to some or all of the other Nasdaq Global Market corporate governance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3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comply with the rule of the Nasdaq Global Market that a majority of our directors be independent. Our board of directors has determined that all of our directors, other than our Chief Executive Officer and Chief Technical Officer, are independent under such rules. As described below, under the Israeli Companies Law we are required to have at least two “external directors.” The definition of independent director under Nasdaq Global Market rules and external director under the Israeli Companies Law overlap to some extent, so that we would generally expect the two directors serving as external directors to satisfy the requirements to be independent under Nasdaq Global Market rules. The definition of external director includes a set of statutory criteria that must be satisfied, including criteria whose aim is to ensure that there be no factor which would impair the ability of the external director to exercise independent judgment. The definition of independent director specifies similar, although less stringent, requirements in addition to the requirement that the board consider any factor which would impair the ability of the independent director to exercise independent judgment. In addition, both external directors and 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our articles of association, which will be effective upon the closing of this offering, our board of directors must consist of at least five and not more than thirteen directors, including at least two external directors required to be appointed under the Israeli Companies Law. Our board of directors will consist of ten directors upon the closing of this offering, including two new directors, who will be our two external directors. The appointment of the external 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each year the term of office of only one class of directors will expire. Each director will hold office until the annual general meeting of our shareholders for the year in which his or her term expires, unless they are removed by a vote of 65% of the total voting power of our shareholders at a general meeting of our shareholders or upon the occurrence of certain events, in accordance with the Israeli Companies Law and our articles of association.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90" w:lineRule="exact"/>
        <w:rPr>
          <w:sz w:val="20"/>
          <w:szCs w:val="20"/>
          <w:color w:val="auto"/>
        </w:rPr>
      </w:pPr>
    </w:p>
    <w:p>
      <w:pPr>
        <w:ind w:left="780" w:right="12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Class I directors will be Jeff Dykan, Dr. Amit Goffer and Yasushi Ichiki, and their terms will expire at the annual general meeting of shareholders to be held in 2015;</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Class II directors will be Larry Jasinski and Asaf Shinar, and their terms will expire at our annual meeting of shareholders to be held in 2016; and</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Class III directors will be Dr. Hadar Ron, Wayne B. Weisman and Arik Dan, and their terms will expire at our annual meeting of shareholders to be held in 2017.</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our articles of association allow our board of directors to appoint directors, create new directorships or fill vacancies on our board of directors for a term of office equal to the remaining period of the term of office of the director(s) whose office(s) have been vacated. External directors are elected for an initial term of three years and may be reelected under the circumstances described below. External directors may be removed from office only under the limited circumstances set forth in the Israeli Companies Law. See “—External Directors” below.</w:t>
      </w:r>
    </w:p>
    <w:p>
      <w:pPr>
        <w:spacing w:after="0" w:line="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Israeli Companies Law and our articles of association, nominations for directors may be made by any shareholder holding at least one percent of our outstanding voting power. However, a shareholder may make such a nomination only if a written notice of a shareholder’s intention to make such nomination has been given to our Secretary (or, if we have no Secretary, our Chief Executive Officer). Any such notice must include certain information, the consent of the proposed director nominee(s) to serve as our director(s) if elected and a declaration signed by the nominee(s) declaring that there is no limitation under the Israeli Companies Law preventing their election and that all of the information that is required to be provided to us in connection with such election under the Israeli Companies Law and under our articles of association has been provided.</w:t>
      </w:r>
    </w:p>
    <w:p>
      <w:pPr>
        <w:spacing w:after="0" w:line="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Israeli Companies Law, our board of directors must determine the minimum number of directors who are required to have accounting and financial expertise. See “—External Directors.” In determining the number of directors required to have such expertise, a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Israeli Companies Law, we are required to have at least two external directors. External directors must meet stringent standards of independence from us, from our management and from any controlling shareholder (defined for this purpose as any shareholder who holds 50% or more of our outstanding shares, or who has the right to appoint the majority of our directors or our general manager). 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These independence standards are applicable beginning two years before the external director’s election and continuing for two years after the external director’s term of service. In addition to election by the normal majority vote, external directors must generally be elected by a majority vote of the shares held by shareholders other than controlling shareholders. Glenn Muir and Dr. John William Poduska have agreed to serve as our external directors, subject to ratification at a meeting of our shareholders to be held no later than three months following the closing of this offering.</w:t>
      </w:r>
    </w:p>
    <w:p>
      <w:pPr>
        <w:spacing w:after="0" w:line="3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According to regulations promulgated under the Israeli Companies Law, a person may be appointed as an external director only if he or she has professional qualifications—defined as an academic degree in certain fields or at least five years of experience in certain senior positions—or if he or she has accounting and financial expertise. At least one of our external directors must have accounting and financial expertise, unless another independent director, who meets the standards of the Nasdaq Global Market listing requirements for membership on the audit committee, has accounting and financial expertise. Our board of directors has determined that Glenn Muir has accounting and financial expertise and possesses professional qualifications as required under the Israeli Companies Law.</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additional three-year terms, provided that the external director continues to meet the independence standards and is reelected by the same majority applicable to the initial election. However, after nine years of service, an external director may be reelected only if both our audit committee and board of directors confirm that, in light of the external director’s expertise and special contribution to the work of the board of directors and its committees, the reelection for such additional period is beneficial to the company.</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External directors may be removed from office only under limited circumstances, including ceasing to meet the statutory qualifications for appointment or violating their duty of loyalty to the company. Removal can be by a special meeting of shareholders that approves such dismissal by the same shareholder vote percentage required for the election of external directors, or by a court.</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of each of these committees. Compensation of an external director is determined prior to his or her appointment in accordance with regulatory guidelines, and may not be changed during his or her term subject to certain exceptions.</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at the time of election of an external director all of the members of the board of directors (excluding controlling shareholders or relatives of controlling shareholders) are of the same gender, the external director to be elected must be of the other gender.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Following the listing of our ordinary shares on the Nasdaq Global Market, our audit committee will consist of Asaf Shinar, along with our two external directors, Glenn Muir and Dr. John William Poduska. Glenn Muir will serve as the chair of the audit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Israeli Companies Law, we are required to appoint an audit committee. The audit committee must be comprised of at least three directors, including all of the external directors (one of whom must serve as chair of the committee). The audit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6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under the Israeli Companies Law, a majority of the members of the audit committee of a publicly-traded company must be unaffiliated directors. In general, an “unaffiliated director” under the Israeli Companies Law is defined as either (i) an external director, or (ii) an individual who has not served as a director of the company for a period exceeding nine consecutive years and who meets the qualifications for being appointed as an external director, except that he or she need not meet the requirement for accounting and financial expertise or professional qualifications.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Under the Nasdaq Global Market corporate governance rules, we are required to maintain an audit committee consisting of at least three independent directors, each of whom is financially literate and one of whom has accounting or related financial management expertise.</w:t>
      </w:r>
    </w:p>
    <w:p>
      <w:pPr>
        <w:spacing w:after="0" w:line="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members of our audit committee meet the requirements for financial literacy under the applicable rules and regulations of the Securities and Exchange Commission and the Nasdaq Global Market corporate governance rules. Our board of directors has determined that Glenn Muir is an audit committee financial expert as defined by the Securities and Exchange Commission rules and has the requisite financial experience as defined by the Nasdaq Global Market corporate governance rules.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Each of the members of our audit committee is “independent” as such term is defined in Rule 10A-3(b)(1) under the Exchange Act of 1934, which is different from the general test for independence of board and committee members.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board of directors has adopted an audit committee charter to be effective upon the listing of our shares on the that will set forth the responsibilities of the audit committee consistent with the rules of the SEC and the listing requirements of the Nasdaq Global Market, as well as the requirements for such committee under the Israeli Companies Law, including the following:</w:t>
      </w:r>
    </w:p>
    <w:p>
      <w:pPr>
        <w:spacing w:after="0" w:line="59" w:lineRule="exact"/>
        <w:rPr>
          <w:sz w:val="20"/>
          <w:szCs w:val="20"/>
          <w:color w:val="auto"/>
        </w:rPr>
      </w:pPr>
    </w:p>
    <w:p>
      <w:pPr>
        <w:ind w:left="7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51"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90" w:lineRule="exact"/>
        <w:rPr>
          <w:sz w:val="20"/>
          <w:szCs w:val="20"/>
          <w:color w:val="auto"/>
        </w:rPr>
      </w:pPr>
    </w:p>
    <w:p>
      <w:pPr>
        <w:ind w:left="780" w:right="54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and making recommendations to the board of directors to improve such practices;</w:t>
      </w:r>
    </w:p>
    <w:p>
      <w:pPr>
        <w:spacing w:after="0" w:line="50" w:lineRule="exact"/>
        <w:rPr>
          <w:rFonts w:ascii="Arial" w:cs="Arial" w:eastAsia="Arial" w:hAnsi="Arial"/>
          <w:sz w:val="18"/>
          <w:szCs w:val="18"/>
          <w:color w:val="auto"/>
        </w:rPr>
      </w:pPr>
    </w:p>
    <w:p>
      <w:pPr>
        <w:ind w:left="780" w:right="420" w:hanging="326"/>
        <w:spacing w:after="0" w:line="332"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determining whether to approve certain related party transactions, and classifying transactions in which a controlling shareholder has a personal interest as significant or insignificant (which affects the required approvals) (see “—Approval of Related Party Transactions under Israeli Law”);</w:t>
      </w:r>
    </w:p>
    <w:p>
      <w:pPr>
        <w:spacing w:after="0" w:line="4"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examining our internal controls and internal auditor’s performance, including whether the internal auditor has sufficient resources and tools to dispose of its responsibilities, and in certain cases approving the annual work plan of our internal auditor;</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deficiencies in the management of our business and the protection to be provided to such employees.</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audit committee may not approve any actions requiring its approval (see “—Approval of Related Party Transactions under Israeli Law”), unless at the time of the approval a majority of the committee’s members are present, including at least one external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Following the listing of our ordinary shares on the Nasdaq Global Market, our compensation committee will consist of Dr. John William Poduska, Glenn Muir and Wayne B. Weisman. Dr. John William Poduska will serve as the chair of the compensation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Israeli Companies Law, the board of directors of a public company must appoint a compensation committee. The compensation committee must be comprised of at least three directors, including all of the external directors, one of whom must be the chair of the compensation committee. The external directors must constitute a majority of the members of the compensation committee; however, so long as our securities are traded on the Nasdaq Global Market, we do not have a controlling shareholder, the compensation committee meets other Israeli Companies Law composition requirements and our composition committees meets the requirements of U.S. law and the Nasdaq Global Market, we will generally not have to meet this majority requirement. The compensation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3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duties of the compensation committee include the recommendation to the company’s board of directors of a policy regarding the terms of engagement of directors and of specified members of senior management, to which we refer as a compensation policy. That compensation policy must be adopted by the company’s board of directors, after considering the recommendations of the compensation committee, and will need to be brought for approval by the company’s shareholders, which approval requires a Special Approval for Compensation (as defined below under “—Approval of Related Party Transactions under Israeli Law—Fiduciary Duties of Directors and Executive Officers”). We will be required to adopt a compensation policy within nine months following our listing on the Nasdaq Global Market.</w:t>
      </w:r>
    </w:p>
    <w:p>
      <w:pPr>
        <w:spacing w:after="0" w:line="6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39" w:lineRule="exact"/>
        <w:rPr>
          <w:sz w:val="20"/>
          <w:szCs w:val="20"/>
          <w:color w:val="auto"/>
        </w:rPr>
      </w:pPr>
    </w:p>
    <w:p>
      <w:pPr>
        <w:jc w:val="both"/>
        <w:ind w:right="400" w:firstLine="456"/>
        <w:spacing w:after="0" w:line="357" w:lineRule="auto"/>
        <w:rPr>
          <w:sz w:val="20"/>
          <w:szCs w:val="20"/>
          <w:color w:val="auto"/>
        </w:rPr>
      </w:pPr>
      <w:r>
        <w:rPr>
          <w:rFonts w:ascii="Arial" w:cs="Arial" w:eastAsia="Arial" w:hAnsi="Arial"/>
          <w:sz w:val="15"/>
          <w:szCs w:val="15"/>
          <w:color w:val="auto"/>
        </w:rPr>
        <w:t>The compensation committee is responsible for (a) recommending the compensation policy to our board of directors for its approval (and subsequent approval by our shareholders) and (b) duties related to the compensation policy and to the compensation of our directors and senior management, including:</w:t>
      </w: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making recommendations regarding our compensation policy at least every three years);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assessing implementation of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approving compensation terms of executive officers, directors and employees affiliated with controlling shareholders;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exempting certain compensation arrangements from the requirement to obtain shareholder approval under the Israeli Companies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Nasdaq Global Market corporate governance rules, we are required to maintain a compensation committee consisting of at least two independent directors. Each of the members of the compensation committee is required to be independent under the Nasdaq Global Market rules relating to compensation committee members, which are different from the general test for independence of board and committee members. Each of the members of our compensation committee satisfies those requirements.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adopted a compensation committee charter setting forth the responsibilities of the committee, which include:</w:t>
      </w:r>
    </w:p>
    <w:p>
      <w:pPr>
        <w:spacing w:after="0" w:line="90"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reviewing and approving the granting of options and other incentive awards to the extent such authority is delegated by our board of directors;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Following the listing of our ordinary shares on the Nasdaq Global Market, our nominating and governance committee will consist of Jeff Dykan and Glenn Muir. Jeff Dykan will serve as the chair of the nominating and governance committee. Our board of directors has adopted a nominating and governance committee charter to be effective upon the listing of our shares on the Nasdaq Global Market that will set forth the responsibilities of the nominating and governance committee, which include:</w:t>
      </w:r>
    </w:p>
    <w:p>
      <w:pPr>
        <w:spacing w:after="0" w:line="62"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the Israeli Companies Law, the compensation of our directors requires the approval of our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51" w:lineRule="exact"/>
        <w:rPr>
          <w:sz w:val="20"/>
          <w:szCs w:val="20"/>
          <w:color w:val="auto"/>
        </w:rPr>
      </w:pPr>
    </w:p>
    <w:p>
      <w:pPr>
        <w:ind w:left="460" w:right="940"/>
        <w:spacing w:after="0" w:line="362" w:lineRule="auto"/>
        <w:rPr>
          <w:sz w:val="20"/>
          <w:szCs w:val="20"/>
          <w:color w:val="auto"/>
        </w:rPr>
      </w:pPr>
      <w:r>
        <w:rPr>
          <w:rFonts w:ascii="Arial" w:cs="Arial" w:eastAsia="Arial" w:hAnsi="Arial"/>
          <w:sz w:val="18"/>
          <w:szCs w:val="18"/>
          <w:color w:val="auto"/>
        </w:rPr>
        <w:t>External directors are entitled to remuneration subject to guidelines set forth in the regulations promulgated under the Israeli Companies Law. For additional information, see “—Compensation of Officers and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96"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who must be independent of the company’s principal shareholders, directors and senior management, and independent auditor.</w:t>
      </w:r>
    </w:p>
    <w:p>
      <w:pPr>
        <w:spacing w:after="0" w:line="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We intend to appoint an internal auditor following the closing of this offering.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90"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duty of loyalty includes a duty to:</w:t>
      </w:r>
    </w:p>
    <w:p>
      <w:pPr>
        <w:spacing w:after="0" w:line="90"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to the company and his or her duties or personal affairs;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refrain from exploiting any business opportunity of the company in order to receive a personal gain for himself or herself or others; and</w:t>
      </w:r>
    </w:p>
    <w:p>
      <w:pPr>
        <w:spacing w:after="0" w:line="113"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Israeli Companies Law requires that an office holder promptly disclose to the board of directors any personal interest that he or she may have, and all related material information or documents, concerning any existing or proposed transaction with the company. A personal interest includes the individual’s own interest and, in some cases, a personal interest of such person’s relative or an entity in which such individual, or his or her relative, is a 5% or greater shareholder, director or general manager, or in which he or she has the right to appoint at least one director or the general manager – but does not include a personal interest stemming only from ownership of our shares.</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an office holder has a personal interest in a transaction, approval by the board of directors is required for the transaction. Once an office holder has disclosed his or her personal interest in a transaction, the board of directors may approve an action by the office holder that would otherwise be deemed a breach of duty of loyalty. A company may not, however, approve a transaction or action unless it is in the best interests of the company, or if the office holder is not acting in good faith.</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approval is required for an extraordinary transaction, which under the Israeli Companies Law is defined as any of the following:</w:t>
      </w:r>
    </w:p>
    <w:p>
      <w:pPr>
        <w:spacing w:after="0" w:line="90"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and, if such compensation arrangement or an undertaking to indemnify or insure 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inconsistent with the company’s compensation policy or if the office holder is the Chief Executive Officer (apart from a number of specific exceptions), then such arrangement is subject to shareholder approval by a simple majority, which must also include at least a majority of the shares voted by all shareholders who are neither controlling shareholders nor have a personal interest in such compensation arrangement (alternatively, in addition to a simple majority, the total number of shares voted against the compensation arrangement by non-controlling shareholders and shareholders who do not have a personal interest in the arrangement may not exceed 2% of our outstanding shares). We refer to this as the Special Approval for Compensation. Arrangements regarding the compensation, indemnification or insurance of a director require the approval of our compensation committee, board of directors and shareholders by a simple majority, in that order, and under certain circumstances, a Special Approval for Compensation.</w:t>
      </w:r>
    </w:p>
    <w:p>
      <w:pPr>
        <w:spacing w:after="0" w:line="3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Generally, a person who has a personal interest in a matter that is considered at a meeting of the board of directors or the audit committee may not be present at such a meeting or vote on that matter unless the chairman of the board of directors or the audit committee (as applicable) determines that he or she should be present in order to present the transaction that is subject to approval. If a majority of the members of the board of directors or the audit committee (as applicable) have a personal interest in the approval of a transaction, then all directors may participate in discussions of the board of directors or the audit committee (as applicable) on such transaction and in the voting, but shareholder approval is also required for such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Controlling Shareholders and Approval of Certain Transactions</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Pursuant to the Israeli Companies Law, the disclosure requirements regarding personal interests that apply to directors and executive officers also apply to a controlling shareholder of a public company. In this context, a controlling shareholder includes a shareholder who holds 25% or more of our outstanding shares if no other shareholder holds more than 50% of our outstanding shares. For this purpose, the holdings of all shareholders who have a personal interest in the same transaction will be aggregated. The approval of the audit committee, the board of directors and the shareholders of the company, in that order, is required for</w:t>
      </w:r>
    </w:p>
    <w:p>
      <w:pPr>
        <w:spacing w:after="0" w:line="3" w:lineRule="exact"/>
        <w:rPr>
          <w:sz w:val="20"/>
          <w:szCs w:val="20"/>
          <w:color w:val="auto"/>
        </w:rPr>
      </w:pPr>
    </w:p>
    <w:p>
      <w:pPr>
        <w:ind w:right="80" w:firstLine="8"/>
        <w:spacing w:after="0" w:line="252" w:lineRule="auto"/>
        <w:tabs>
          <w:tab w:leader="none" w:pos="2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extraordinary transactions with a controlling shareholder or in which a controlling shareholder has a personal interest, (b) our engagement with a controlling shareholder or his or her relative, directly or indirectly, for the provision of services to us, (c) the terms of engagement and compensation of a controlling shareholder or his or her relative who is not an office holder or (d) our employment of a controlling shareholder or his or her relative, other than as an office holder. In addition to shareholder approval by a simple majority, the transaction must be approved by a simple majority, which must also include at least a majority of the shares voted by all shareholders who do not have a personal interest in the transaction (alternatively, in addition to a simple majority, the total number of shares voted against the transaction by shareholders who do not have a personal interest in it may not exceed 2% of our outstanding shares), which we refer to as a Special Majority.</w:t>
      </w:r>
    </w:p>
    <w:p>
      <w:pPr>
        <w:spacing w:after="0" w:line="66" w:lineRule="exact"/>
        <w:rPr>
          <w:sz w:val="20"/>
          <w:szCs w:val="20"/>
          <w:color w:val="auto"/>
        </w:rPr>
      </w:pPr>
    </w:p>
    <w:p>
      <w:pPr>
        <w:ind w:right="280" w:firstLine="456"/>
        <w:spacing w:after="0" w:line="357" w:lineRule="auto"/>
        <w:rPr>
          <w:sz w:val="20"/>
          <w:szCs w:val="20"/>
          <w:color w:val="auto"/>
        </w:rPr>
      </w:pPr>
      <w:r>
        <w:rPr>
          <w:rFonts w:ascii="Arial" w:cs="Arial" w:eastAsia="Arial" w:hAnsi="Arial"/>
          <w:sz w:val="15"/>
          <w:szCs w:val="15"/>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under the circumstances.</w:t>
      </w:r>
    </w:p>
    <w:p>
      <w:pPr>
        <w:ind w:right="220" w:firstLine="456"/>
        <w:spacing w:after="0" w:line="259"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in that order, by a Special Majority, and the terms must be consistent with our compensation policy.</w:t>
      </w:r>
    </w:p>
    <w:p>
      <w:pPr>
        <w:spacing w:after="0" w:line="5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Pursuant to regulations promulgated under the Israeli Companies Law, certain transactions with a controlling shareholder or his or her relative, or with directors, that would otherwise require approval of our shareholders may be exempt from shareholder approval upon certain determinations of our audit committee and board of directors. Under these regulations, we must publish these determinations, and a shareholder holding at least 1% of our outstanding shares may, within 14 days of after publication, demand shareholder approval despite such determinations.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59"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90" w:lineRule="exact"/>
        <w:rPr>
          <w:rFonts w:ascii="Arial" w:cs="Arial" w:eastAsia="Arial" w:hAnsi="Arial"/>
          <w:sz w:val="18"/>
          <w:szCs w:val="18"/>
          <w:color w:val="auto"/>
        </w:rPr>
      </w:pPr>
    </w:p>
    <w:p>
      <w:pPr>
        <w:ind w:left="460" w:right="3440" w:hanging="6"/>
        <w:spacing w:after="0" w:line="413" w:lineRule="auto"/>
        <w:tabs>
          <w:tab w:leader="none" w:pos="773"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approval of related party transactions and acts of office holders that require shareholder approval. In addition, a shareholder also has a general duty to refrain from discriminating against other shareholders.</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Insurance and Exculpation of Directors and Officers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the Israeli Companies Law, we may indemnify an office holder in respect of the following liabilities and expenses incurred for acts performed by him or her as an office holder, either pursuant to an undertaking made in advance of an event or following an event:</w:t>
      </w:r>
    </w:p>
    <w:p>
      <w:pPr>
        <w:spacing w:after="0" w:line="51" w:lineRule="exact"/>
        <w:rPr>
          <w:sz w:val="20"/>
          <w:szCs w:val="20"/>
          <w:color w:val="auto"/>
        </w:rPr>
      </w:pPr>
    </w:p>
    <w:p>
      <w:pPr>
        <w:ind w:left="780" w:hanging="326"/>
        <w:spacing w:after="0" w:line="255"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liability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our activities when the undertaking to indemnify is given, and to an amount or according to criteria determined by our board of directors as reasonable under the circumstances, and such undertaking must detail these foreseen events and amount or criteria;</w:t>
      </w:r>
    </w:p>
    <w:p>
      <w:pPr>
        <w:spacing w:after="0" w:line="61" w:lineRule="exact"/>
        <w:rPr>
          <w:rFonts w:ascii="Arial" w:cs="Arial" w:eastAsia="Arial" w:hAnsi="Arial"/>
          <w:sz w:val="18"/>
          <w:szCs w:val="18"/>
          <w:color w:val="auto"/>
        </w:rPr>
      </w:pPr>
    </w:p>
    <w:p>
      <w:pPr>
        <w:ind w:left="780" w:hanging="326"/>
        <w:spacing w:after="0" w:line="294"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34" w:lineRule="exact"/>
        <w:rPr>
          <w:rFonts w:ascii="Arial" w:cs="Arial" w:eastAsia="Arial" w:hAnsi="Arial"/>
          <w:sz w:val="16"/>
          <w:szCs w:val="16"/>
          <w:color w:val="auto"/>
        </w:rPr>
      </w:pPr>
    </w:p>
    <w:p>
      <w:pPr>
        <w:ind w:left="780" w:right="200" w:hanging="326"/>
        <w:spacing w:after="0" w:line="259"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us, on our behalf, or by a third party, or in connection with criminal proceedings in which the office holder was acquitted, or as a result of a conviction for an offense that does not require proof of criminal intent.</w:t>
      </w:r>
    </w:p>
    <w:p>
      <w:pPr>
        <w:spacing w:after="0" w:line="5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the Israeli Companies Law, we may insure an office holder against the following liabilities incurred for acts performed by him or her as an office holder if and to the extent provided in the company’s articles of association:</w:t>
      </w:r>
    </w:p>
    <w:p>
      <w:pPr>
        <w:spacing w:after="0" w:line="51" w:lineRule="exact"/>
        <w:rPr>
          <w:sz w:val="20"/>
          <w:szCs w:val="20"/>
          <w:color w:val="auto"/>
        </w:rPr>
      </w:pPr>
    </w:p>
    <w:p>
      <w:pPr>
        <w:ind w:left="780" w:right="34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breach of the duty of loyalty to us, provided that the office holder acted in good faith and had a reasonable basis to believe that the act would not harm 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breach of duty of care to us or to a third party, to the extent such a breach arises out of the negligent conduct of the office holder;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Israeli Companies Law, we may not indemnify, exculpate or insure an office holder against any of the following:</w:t>
      </w:r>
    </w:p>
    <w:p>
      <w:pPr>
        <w:spacing w:after="0" w:line="90" w:lineRule="exact"/>
        <w:rPr>
          <w:sz w:val="20"/>
          <w:szCs w:val="20"/>
          <w:color w:val="auto"/>
        </w:rPr>
      </w:pPr>
    </w:p>
    <w:p>
      <w:pPr>
        <w:ind w:left="780" w:right="160" w:hanging="326"/>
        <w:spacing w:after="0" w:line="259"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us to the extent that the office holder acted in good faith and had a reasonable basis to believe that the act would not prejudice us (but we may not exculpate an office holder from liability for a breach of the duty of loyalty);</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civil or criminal fine or forfeit levied against the office holder.</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may exculpate an office holder in advance from liability to the company, in whole or in part, for damages caused to us as a result of a breach of duty of care. We may not exculpate in advance a director from liability arising out of a prohibited dividend or distribution to shareholders.</w:t>
      </w:r>
    </w:p>
    <w:p>
      <w:pPr>
        <w:spacing w:after="0" w:line="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our office holders must be approved by our compensation committee and board of directors and, with respect to certain office holders or under certain circumstances, also by the shareholders. See “—Approval of Related Party Transactions under Israeli Law.”</w:t>
      </w:r>
    </w:p>
    <w:p>
      <w:pPr>
        <w:spacing w:after="0" w:line="5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indemnification agreements with our office holders to exculpate, indemnify and insure them to the fullest extent permitted or to be permitted by our articles of association, the Israeli Companies Law and the Israeli Securities Law, 5728-1968.</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http://rewalk.com/</w:t>
      </w:r>
      <w:r>
        <w:rPr>
          <w:rFonts w:ascii="Arial" w:cs="Arial" w:eastAsia="Arial" w:hAnsi="Arial"/>
          <w:sz w:val="16"/>
          <w:szCs w:val="16"/>
          <w:i w:val="1"/>
          <w:iCs w:val="1"/>
          <w:color w:val="auto"/>
        </w:rPr>
        <w:t>.</w:t>
      </w:r>
      <w:r>
        <w:rPr>
          <w:rFonts w:ascii="Arial" w:cs="Arial" w:eastAsia="Arial" w:hAnsi="Arial"/>
          <w:sz w:val="16"/>
          <w:szCs w:val="16"/>
          <w:color w:val="auto"/>
        </w:rPr>
        <w:t xml:space="preserve">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Officers and Directors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aggregate compensation expensed and share-based compensation and other payments expensed by us and our subsidiaries to our directors and executive officers with respect to the year ended December 31, 2013 was $1.8 million. This amount includes approximately $0.3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our industry.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Service Contracts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Other than with respect to our directors that are also executive officers, there are no arrangements or understandings between us, on the one hand, and any of our directors, on the other hand, providing for benefits upon termination of their service as directors of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are currently in the process of recruiting a new Chief Financial Officer to be based in our U.S. headquarters. Our current Chief Financial Officer, Ami Kraft, will retire from that position upon our hiring of this new individual. We have identified several possible candidates and in August 2014, we extended an offer to one candidate. We expect that Mr. Kraft will continue to play an important role in our company as the manager of our corporate headquarters in Israel.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August 19, 2014, we adopted our 2014 Incentive Compensation Plan, or the 2014 Plan. The 2014 Plan provides for the grant of stock options, stock appreciation rights, restricted stock awards, restricted stock units, cash-based awards, other stock-based awards and dividend equivalents to our company’s and our affiliates’ respective employees, non-employee directors and consultants. The reserved pool of shares under the 2014 Plan is the sum of (i) 153,000 shares; plus (ii) on January 1 of each calendar year during the term of the 2014 Plan a number of shares equal to the lesser of: (x) 972,000, (y) 4% of the total number of shares outstanding on December 31 of the immediately preceding calendar year, and (z) an amount determined by our board of directors; plus (iii) the number of shares available for issuance under the our 2012 Equity Incentive Plan, the 2012 Israeli Sub Plan and the 2006 Stock Option Plan (collectively, the “Prior Plans”) as of the effective date of the 2014 Plan (in an amount not to exceed 128,106 shares). From and after the effective date of the 2014 Plan, no further grants or awards shall be made under the Prior Plans. Generally, shares that are forfeited, cancelled, terminated or expire unexercised, settled in cash in lieu of issuance of shares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2014 Plan.</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2014 Plan will be administered by our compensation committee which will have full authority in all matters related to the discharge of its responsibilities and the exercise of its authority under the plan. Awards under the 2014 Plan may be granted until ten years after the date on which the 2014 Plan was approved by our shareholders.</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terms of options granted under the 2014 Plan, including the exercise price, vesting provisions and the duration of an option, shall be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Stock appreciation rights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2014 Plan, including the base price per share, vesting provisions and the duration of an SAR, shall be determined by the compensation committee and set forth in an award agreement. Except as provided in the applicable award agreement, or in the discretion of the compensation committee, a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Restricted stock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Restricted stock units are awards covering a number of hypothetical units with respect to shares that are granted subject to such vesting and transfer restrictions and conditions of payment as the compensation committee may determine in an award agreement. Restricted stock units are payable in cash, ordinary shares of equivalent value or a combination thereof.</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2014 Plan provides for the grant of cash-based award and other stock-based awards (which are equity-based or equity related award not otherwise described in the 2014 Plan). The terms of such cash-based awards or other stock-based shall be determined by the compensation committee and set forth in the award agreement.</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the event of any dividend (excluding any ordinary dividend) or other distribution, recapitalization, stock split, reverse stock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 (i) adjusting the number of shares available for grant under the 2014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w:t>
      </w:r>
    </w:p>
    <w:p>
      <w:pPr>
        <w:spacing w:after="0" w:line="1" w:lineRule="exact"/>
        <w:rPr>
          <w:sz w:val="20"/>
          <w:szCs w:val="20"/>
          <w:color w:val="auto"/>
        </w:rPr>
      </w:pPr>
    </w:p>
    <w:p>
      <w:pPr>
        <w:ind w:right="200" w:firstLine="8"/>
        <w:spacing w:after="0" w:line="261" w:lineRule="auto"/>
        <w:tabs>
          <w:tab w:leader="none" w:pos="2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all unvested awards will terminate upon the change in control. Notwithstanding the foregoing, in the event that it is determined that neither (i) or (ii) in the preceding sentence will apply, all awards will become fully vested.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Israeli Sub Plan</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2014 Israeli Sub Plan provides for the grant by us of awards pursuant to Sections 102 and 3(i) of the Israeli Income Tax Ordinance, or the Ordinance, and the rules and regulations promulgated thereunder. The 2014 Israeli Sub Plan is effective with respect to awards granted as of 30 days from the date we submitted it to the Israeli Tax Authority, or the ITA. The 2014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102(b)(2) of the Ordinance or (ii) not intended to qualify for such special tax treatment. The 2014 Israeli Sub Plan also provides for the grant of awards under Section 3(i) of the Ordinance to our Israeli non-employee service providers and Controlling Shareholders, who are not eligible for such special tax treatment.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U.S. Sub Plan</w:t>
      </w:r>
    </w:p>
    <w:p>
      <w:pPr>
        <w:spacing w:after="0" w:line="90"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The 2014 U.S. Sub Plan applies to grantees that are subject to US federal income tax. The 2014 U.S. Sub Plan provides that options granted the U.S. grantees will either be incentive stock options pursuant to Section 422 of the Internal Revenue Code or nonstatutory stock options. Options, other than certain incentive stock options described below, must have an exercise price not less than 100% of the fair market value of an underlying share on the date of grant. Incentive stock options that are not exercised within ten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2014 Plan for grants of incentive stock options shall be the total number of shares available under the 2014 subject to any limitations under the Internal Revenue Code and provided that shares delivered pursuant to “substitute awards” shall reduce the shares available for issuance of incentive stock options under the 2014 Plan. It is the intention that no award shall be deferred compensation subject to Section 409A of the Internal Revenue Code unless and to the extent that the compensation committee specifically determines otherwise. If the compensation committee determines an award will be subject to Section 409A of the Internal Revenue Code such awards shall be intended to comply in all respects with Section 409A of the Code, and the 2014 Plan and the terms and conditions of such awards shall be interpreted and administered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30, 2012, we adopted our 2012 Equity Incentive Plan, or the 2012 Plan, which was approved by our shareholders on the same date. The 2012 Plan provides for the grant of options, restricted shares, restricted share units, share appreciation rights, performance units, performance shares and other shares or cash awards to our company’s and our affiliates’ respective employees, directors and consultants. As of August 19, 2014, options to purchase 994,158 ordinary shares were outstanding under the 2012 Plan. The 2012 Plan was terminated on August 19, 2014, although option awards outstanding as of that date will continue in full force in accordance with the terms under which they were granted. In the event that any award shall for any reason expire or terminate without having been exercised or paid in full, the shares not acquired shall revert to the 2014 Plan and again become available for issuance. No participant may be granted during any one year period awards covering more than 468,000 ordinary shares in the aggregate.</w:t>
      </w:r>
    </w:p>
    <w:p>
      <w:pPr>
        <w:spacing w:after="0" w:line="3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2012 Plan is administered by our board of directors, unless and until the board delegates administration to a committee, which shall determine the grantees of awards and the terms of the grant, including, exercise prices, vesting schedules, acceleration of vesting and the other matters necessary in the administration of the 2012 Plan. Awards under the 2012 Plan may be granted until ten years after the date on which the 2012 Plan was approved by our shareholders.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Options granted under the 2012 Plan are either incentive share options pursuant to Section 422 of the Internal Revenue Code or nonstatutory share options. Options generally vest as determined by the board or committee. Options, other than certain incentive share options described below, must have an exercise price not less than 100% of the fair market value of an underlying share on the date of grant. Options, other than certain incentive share options described below, that are not exercised within ten years from the grant date expire, unless otherwise determined by our board of directors or its designated committee, as applicable. Incentive share options granted to a person holding more than 10% of our voting power will expire within five years from the date of the grant and must have an exercise price at least equal to 110% of the fair market value of an underlying share on the date of grant. Unless otherwise provided in an option agreement, in the event of termination of employment or services for reasons of disability or death, the grantee, or in the case of death, his or her legal successor, may generally exercise options that have vested prior to termination within a period of one year from the date of disability or death (or the expiration of the term of the option, if earlier). If a grantee’s employment or service is terminated for any other reason, the grantee may generally exercise his or her vested options within 90 days of the date of termination (or the expiration of the term of the option, if earlier).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Share appreciation rights are awards entitling a grantee to receive a payment representing the difference between the base price per share of the right and the fair market value of a share on the date of exercise subject to any terms or conditions as the board or committee may determine in the award agreement. Share appreciation rights are payable in cash, shares of equivalent value or a combination thereof.</w:t>
      </w:r>
    </w:p>
    <w:p>
      <w:pPr>
        <w:spacing w:after="0" w:line="5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board or committee in the award agreement. Until such time as the applicable restrictions lapse, restricted shares are subject to forfeiture and may not be sold, assigned, pledged or otherwise disposed of by the participant who holds those shares.</w:t>
      </w:r>
    </w:p>
    <w:p>
      <w:pPr>
        <w:spacing w:after="0" w:line="59"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Restricted share units are awards covering a number of hypothetical units with respect to shares that are granted subject to such vesting and transfer restrictions and conditions of payment as the board or committee may determine. Restricted share units are payable in cash, shares of equivalent value or a combination thereof.</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Performance share awards are awards denominated in shares which may be earned in whole or part upon attainment of performance goals or other vesting criteria as the board or committee may determine.</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Performance units are awards covering a number of hypothetical units with respect to shares that may be earned in whole or in part upon attainment of performance goals or other vesting criteria as the board or committee may determine. Performance units are payable in cash, shares of equivalent value or a combination thereof.</w:t>
      </w:r>
    </w:p>
    <w:p>
      <w:pPr>
        <w:spacing w:after="0" w:line="5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Awards under the 2012 Plan may be made subject to performance goals relating to one or more business criteria and may provide for a targeted level or levels of achievement.</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any change is made to the shares without consideration to the company (through merger, consolidation, reorganization, recapitalization, share dividend or similar event), the class and number of shares available for issuance, maximum award limits and any outstanding awards under the 2012 Plan will be appropriately adjusted. In the event of a change in control, either (i) the surviving entity may assume and continue outstanding awards (or substitute similar awards) in all or in part or (ii) if the surviving entity does not assume and continue awards (or substitute similar awards), unvested awards will be forfeited and vested award shall terminate if not exercised at or prior to the change in control. Notwithstanding the foregoing, in the event of a change in control, the board, in its discretion, may accelerate the vesting of any or all awards, in whole or in part.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Israeli Sub Plan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2012 Israeli Sub Plan provides for the grant by us of awards pursuant to Sections 102 and 3(i) of the Ordinance and the rules and regulations promulgated thereunder. The ITA approved the 2012 Israeli Sub-Plan, as required by applicable law. The 2012 Israeli Sub Plan provides for options and share awards to be granted to our or our affiliates’ employees, directors and officers who are not controlling shareholders and who are considered Israeli residents, to the extent that such options or awards either are (i) intended to qualify for special tax treatment under the “capital gains track” provisions of Section 102(b)(2) of the Ordinance or (ii) not intended to qualify for such special tax treatment. The 2012 Israeli Sub Plan also provides for the grant of options under Section 3(i) of the Ordinance to our Israeli non-employee service providers and controlling shareholders, which are not eligible for such special tax treatment.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U.S. Sub Plan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2012 U.S. Sub Plan applies to grants to participants who are citizens or residents of the United States on the date of grant of an award. Under the 2012 U.S. Sub Plan, the board may require a participant to represent that he or she is acquiring securities for investment purposes and without a view to distribution thereof. Shares will not be issued under the U.S. Sub Plan unless the issuance complies with the requirements of any stock exchange on which the shares are then listed or quoted, any securities or tax laws and all other applicable laws. All shares delivered under the U.S Sub Plan will be subject to such transfer orders and other restrictions as our board of directors may deem advisable under the rules, regulations, and other requirements of any stock exchange upon which the shares are then listed and any applicable laws. Our obligations under the U.S. Sub Plan will be conditioned on the payment by the participant of all applicable withholding taxes.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U.S. Plan contains provisions relating solely to participants located in California, which generally provide that in the event of termination of employment or services for reasons of disability or death, the participant, or in the case of death, his or her legal successor, may generally exercise options that have vested prior to termination within a period of six months from the date of disability or death (or the expiration of the term of the option, if earlier). If a participant’s employment or service is terminated for any other reason, the grantee may generally exercise his or her vested options within 30 days of the date of termination (or the expiration of the term of the option, if earlier).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In November of 2006, we adopted our 2006 Stock Option Plan, which we refer to as the 2006 Plan. The 2006 Plan provides for the grant of (i) options without a trustee pursuant to Section 102 of the Israeli Income Tax Ordinance, or the Ordinance, (ii) options allocated to a trustee under the capital gains track pursuant and subject to the provisions of Section 102 of the Ordinance, (iii) options allocated to a trustee under the ordinary income track pursuant and subject to the provisions of Section 102 of the Ordinance, and (iv) options granted pursuant to Section 3(i) of the Ordinance. Stock options under the 2006 Plan are generally granted to our employees who are considered Israeli residents, members of our board or consultants, provided that (x) options granted pursuant to Section 102 of the Ordinance may be granted only to persons considered to be Israeli residents who are our employees or office holders, as such terms are defined in Section 102 of the Ordinance, but excluding any person who is deemed to be a controlling party within the meaning of the Ordinance, and (y) options granted pursuant to Section 3(i) of the Ordinance may be granted only to persons considered to be Israeli residents, who are not our employees or who are deemed to be controlling parties within the meaning of the Ordinance. In addition, the 2006 Plan contemplates issuances to our employees in jurisdictions other than Israel, with respect to which the administrator is empowered to make the requisite adjustments in the 2006 Plan to reflect the laws of such jurisdictions. As of August 19, 2014, options to purchase 121,482 ordinary shares were outstanding under the 2006 Plan. The 2006 Plan was terminated on August 19, 2014, although option awards outstanding as of that date will continue in full force in accordance with the terms under which they were granted. In the event that any option shall for any reason expire or terminate without having been exercised, the shares not acquired shall revert to the 2014 Plan and again become available for issuance.</w:t>
      </w:r>
    </w:p>
    <w:p>
      <w:pPr>
        <w:spacing w:after="0" w:line="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2006 Plan is administered by our board of directors, unless the board delegates administration to a committee, which determines the grantees of options and the types of options to be granted, approves the terms and conditions of options, exercises such powers and performs such acts necessary or expedient to promote the best interests of the company with respect to the 2006 Plan. Our board of directors may, at any time, amend, alter, suspend or terminate the 2006 Plan, but may not thereby impair the rights of any grantee without his or her consent.</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terms of options granted under the 2006 Plan are determined by the administrator and set forth in an option agreement. Such terms include the type of option, the term of the option, the exercise price and the vesting schedule. Unless otherwise stated in an option agreement, each option expires on the tenth anniversary of the effective date of the option unless an initial public offering of the company’s shares takes place prior to such date, in which case each option shall expire two years from such initial public offering.</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2006 Plan provides for treatment of options upon various terminations of employment or other service to the company, including the period for which the vested period of option can be exercised following termination and, in some cases (such as termination due to disability, death or retirement), the exercisability of the portion of the option that would have become vested on the next vesting date.</w:t>
      </w:r>
    </w:p>
    <w:p>
      <w:pPr>
        <w:spacing w:after="0" w:line="5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number of shares covered by or underlying each outstanding option and the number of shares which have been authorized for issuance under the 2006 Plan shall be appropriately adjusted in the case of any increase or decrease in the number of issued shares resulting from a share split, reverse share split, recapitalization, combination or reclassification of the shares, rights issues or any other increase or decrease in the number of issued Shares in each case effected without receipt of consideration by the company. In the event of a merger or acquisition, each outstanding option shall be assumed or an equivalent award substituted by the successor company or a parent or subsidiary of the successor company. In the event that the successor company refuses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assume or substitute outstanding options, such options shall be deemed fully exercisable upon the closing of the transaction. In the event of a voluntary liquidation which is not considered a merger or acquisition under the 2006 Plan, each grantee shall be notified and have the right to exercise the vested options within five days.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data for our equity incentive plans as of August 19, 2014.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3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3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Aggregate</w:t>
            </w: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78"/>
              </w:rPr>
              <w:t>exercise</w:t>
            </w:r>
          </w:p>
        </w:tc>
      </w:tr>
      <w:tr>
        <w:trPr>
          <w:trHeight w:val="149"/>
        </w:trPr>
        <w:tc>
          <w:tcPr>
            <w:tcW w:w="3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number of</w:t>
            </w: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price of</w:t>
            </w:r>
          </w:p>
        </w:tc>
      </w:tr>
      <w:tr>
        <w:trPr>
          <w:trHeight w:val="149"/>
        </w:trPr>
        <w:tc>
          <w:tcPr>
            <w:tcW w:w="3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future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options</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outstanding</w:t>
            </w:r>
          </w:p>
        </w:tc>
      </w:t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Plan</w:t>
            </w:r>
          </w:p>
        </w:tc>
        <w:tc>
          <w:tcPr>
            <w:tcW w:w="484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grants</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options</w:t>
            </w:r>
          </w:p>
        </w:tc>
      </w:tr>
      <w:tr>
        <w:trPr>
          <w:trHeight w:val="210"/>
        </w:trPr>
        <w:tc>
          <w:tcPr>
            <w:tcW w:w="3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2014 Plan</w:t>
            </w:r>
          </w:p>
        </w:tc>
        <w:tc>
          <w:tcPr>
            <w:tcW w:w="48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281,106</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2012 Plan</w:t>
            </w:r>
          </w:p>
        </w:tc>
        <w:tc>
          <w:tcPr>
            <w:tcW w:w="484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994,158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2006 Plan</w:t>
            </w:r>
          </w:p>
        </w:tc>
        <w:tc>
          <w:tcPr>
            <w:tcW w:w="4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121,482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r>
      <w:tr>
        <w:trPr>
          <w:trHeight w:val="363"/>
        </w:trPr>
        <w:tc>
          <w:tcPr>
            <w:tcW w:w="3180" w:type="dxa"/>
            <w:vAlign w:val="bottom"/>
          </w:tcPr>
          <w:p>
            <w:pPr>
              <w:spacing w:after="0"/>
              <w:rPr>
                <w:sz w:val="24"/>
                <w:szCs w:val="24"/>
                <w:color w:val="auto"/>
              </w:rPr>
            </w:pPr>
          </w:p>
        </w:tc>
        <w:tc>
          <w:tcPr>
            <w:tcW w:w="4840" w:type="dxa"/>
            <w:vAlign w:val="bottom"/>
          </w:tcPr>
          <w:p>
            <w:pPr>
              <w:jc w:val="right"/>
              <w:ind w:right="2132"/>
              <w:spacing w:after="0"/>
              <w:rPr>
                <w:sz w:val="20"/>
                <w:szCs w:val="20"/>
                <w:color w:val="auto"/>
              </w:rPr>
            </w:pPr>
            <w:r>
              <w:rPr>
                <w:rFonts w:ascii="Arial" w:cs="Arial" w:eastAsia="Arial" w:hAnsi="Arial"/>
                <w:sz w:val="18"/>
                <w:szCs w:val="18"/>
                <w:color w:val="auto"/>
              </w:rPr>
              <w:t>95</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The following table sets forth information with respect to the beneficial ownership of our shares as of the date of this prospectus and after this offering by:</w:t>
      </w:r>
    </w:p>
    <w:p>
      <w:pPr>
        <w:spacing w:after="0" w:line="113"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outstanding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beneficial ownership of ordinary shares is determined in accordance with the rules of the Securities and Exchange Commission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August 1, 2014,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prior to the offering is based on 7,642,422 ordinary shares outstanding as of August 1, 2014, assuming the conversion of all outstanding ordinary A shares, ordinary B shares and preferred shares as of that date, but excluding ordinary shares issuable in connection with the exercise of outstanding warrants or outstanding options, into ordinary shares. The percentage of ordinary shares beneficially owned after the offering is based on 11,517,356 ordinary shares to be outstanding immediately after the offering. Except where otherwise indicated, we believe, based on information furnished to us by such owners, that the beneficial owners of the ordinary shares listed below have sole investment and voting power with respect to such shares.</w:t>
      </w:r>
    </w:p>
    <w:p>
      <w:pPr>
        <w:spacing w:after="0" w:line="4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August 1, 2014, we had six holders of record of our ordinary shares in the United States. These shareholders held in the aggregate 27.8% of our outstanding ordinary shares.</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of our shareholders, including the shareholders listed below, have the same voting rights attached to their ordinary shares. See “Description of Share Capital—Voting Rights.” Unless otherwise noted below, each shareholder’s address is ReWalk Robotics Ltd., Kochav Yokneam Building, Floor 6, P.O. Box 161, Yokneam Ilit 20692, Israel.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w w:val="99"/>
              </w:rPr>
              <w:t>Shares Beneficially Owned</w:t>
            </w:r>
          </w:p>
        </w:tc>
        <w:tc>
          <w:tcPr>
            <w:tcW w:w="22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9"/>
              </w:rPr>
              <w:t>Shares Beneficially Owned</w:t>
            </w:r>
          </w:p>
        </w:tc>
        <w:tc>
          <w:tcPr>
            <w:tcW w:w="0" w:type="dxa"/>
            <w:vAlign w:val="bottom"/>
          </w:tcPr>
          <w:p>
            <w:pPr>
              <w:spacing w:after="0"/>
              <w:rPr>
                <w:sz w:val="1"/>
                <w:szCs w:val="1"/>
                <w:color w:val="auto"/>
              </w:rPr>
            </w:pPr>
          </w:p>
        </w:tc>
      </w:tr>
      <w:tr>
        <w:trPr>
          <w:trHeight w:val="16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74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Prior to Offering</w:t>
            </w:r>
          </w:p>
        </w:tc>
        <w:tc>
          <w:tcPr>
            <w:tcW w:w="22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After the Offering</w:t>
            </w:r>
          </w:p>
        </w:tc>
        <w:tc>
          <w:tcPr>
            <w:tcW w:w="0" w:type="dxa"/>
            <w:vAlign w:val="bottom"/>
          </w:tcPr>
          <w:p>
            <w:pPr>
              <w:spacing w:after="0"/>
              <w:rPr>
                <w:sz w:val="1"/>
                <w:szCs w:val="1"/>
                <w:color w:val="auto"/>
              </w:rPr>
            </w:pPr>
          </w:p>
        </w:tc>
      </w:tr>
      <w:tr>
        <w:trPr>
          <w:trHeight w:val="142"/>
        </w:trPr>
        <w:tc>
          <w:tcPr>
            <w:tcW w:w="6420" w:type="dxa"/>
            <w:vAlign w:val="bottom"/>
            <w:gridSpan w:val="2"/>
            <w:vMerge w:val="continue"/>
          </w:tcPr>
          <w:p>
            <w:pPr>
              <w:spacing w:after="0"/>
              <w:rPr>
                <w:sz w:val="12"/>
                <w:szCs w:val="12"/>
                <w:color w:val="auto"/>
              </w:rPr>
            </w:pPr>
          </w:p>
        </w:tc>
        <w:tc>
          <w:tcPr>
            <w:tcW w:w="13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Percent</w:t>
            </w:r>
          </w:p>
        </w:tc>
        <w:tc>
          <w:tcPr>
            <w:tcW w:w="68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Entities affiliated with SCP Vitalife Partners(1)</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1,863,540</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24.0%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1,863,540</w:t>
            </w:r>
          </w:p>
        </w:tc>
        <w:tc>
          <w:tcPr>
            <w:tcW w:w="5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Yaskawa Electric Corporation(2)</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1,561,968</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1,561,968</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Israel Healthcare Ventures 2 L.P.(3)</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1,476,702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18.7%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1,401,498</w:t>
            </w:r>
          </w:p>
        </w:tc>
        <w:tc>
          <w:tcPr>
            <w:tcW w:w="5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Pontifax(4)</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898,758</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855,774</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Entities affiliated with OurCrowd Investment in Argo L.P.(5)</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560,430</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7.2%</w:t>
            </w:r>
          </w:p>
        </w:tc>
        <w:tc>
          <w:tcPr>
            <w:tcW w:w="760" w:type="dxa"/>
            <w:vAlign w:val="bottom"/>
          </w:tcPr>
          <w:p>
            <w:pPr>
              <w:jc w:val="right"/>
              <w:spacing w:after="0"/>
              <w:rPr>
                <w:sz w:val="20"/>
                <w:szCs w:val="20"/>
                <w:color w:val="auto"/>
              </w:rPr>
            </w:pPr>
            <w:r>
              <w:rPr>
                <w:rFonts w:ascii="Arial" w:cs="Arial" w:eastAsia="Arial" w:hAnsi="Arial"/>
                <w:sz w:val="18"/>
                <w:szCs w:val="18"/>
                <w:color w:val="auto"/>
              </w:rPr>
              <w:t>560,430</w:t>
            </w:r>
          </w:p>
        </w:tc>
        <w:tc>
          <w:tcPr>
            <w:tcW w:w="5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Previz Ventures L.P.(6)</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472,140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472,140</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Jasinski(7)</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125,874</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125,874</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Dr. Amit Goffer(8)</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230,220</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760" w:type="dxa"/>
            <w:vAlign w:val="bottom"/>
          </w:tcPr>
          <w:p>
            <w:pPr>
              <w:jc w:val="right"/>
              <w:spacing w:after="0"/>
              <w:rPr>
                <w:sz w:val="20"/>
                <w:szCs w:val="20"/>
                <w:color w:val="auto"/>
              </w:rPr>
            </w:pPr>
            <w:r>
              <w:rPr>
                <w:rFonts w:ascii="Arial" w:cs="Arial" w:eastAsia="Arial" w:hAnsi="Arial"/>
                <w:sz w:val="18"/>
                <w:szCs w:val="18"/>
                <w:color w:val="auto"/>
              </w:rPr>
              <w:t>556,254</w:t>
            </w:r>
          </w:p>
        </w:tc>
        <w:tc>
          <w:tcPr>
            <w:tcW w:w="5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 Kraft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Ofir Koren</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Jodi Gricci</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Ori Schellas</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Hamilton</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Miri Pariente</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Dykan(9)</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1,863,540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1,863,540</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Dr. Hadar Ron</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Asaf Shinar</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Wayne B. Weisman(10)</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1,863,540</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24.0%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1,863,540</w:t>
            </w:r>
          </w:p>
        </w:tc>
        <w:tc>
          <w:tcPr>
            <w:tcW w:w="5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Aryeh (Arik) Dan</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Yasushi Ichiki</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Muir</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Dr. John William Poduska</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 as a group(11)</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2,310,876</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2,636,910</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line="285"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1,219,356 ordinary shares and warrants to purchase 62,640 ordinary shares held by SCP Vitalife Partners II L.P. (“SCP Vitalife Partners II”), 407,268 ordinary shares and warrants to purchase 19,728 ordinary shares held by SCP Vitalife Partners (Israel) II L.P. (“SCP Vitalife Partners Israel II”), 69,228 ordinary shares held by Vitalife Partners (Overseas) L.P. (“Vitalife Partners Overseas”), 22,896 ordinary shares held by Vitalife Partners (Israel) L.P. (“Vitalife Partners Israel”), 23,148 ordinary shares held by Vitalife Partners (D.C.M) L.P. (“Vitalife Partners DCM”) and 39,276 ordinary shares currently held by the Office of the Chief Scientist, or OCS, that Vitalife Partners Overseas, Vitalife Partners Israel and Vitalife Partners DCM have the right to acquire from OCS. Warrants to purchase 39,348 ordinary shares held by SCP Vitalife Partners II and warrants to purchase 13,140 ordinary shares held by SCP Vitalife Partners Israel II will be exercised for cash immediately prior to the closing of this offering resulting in the issuance of ordinary shares in those amounts to those entities. SCP Vitalife II Associates, L.P. (“SCP Vitalife Associates”) is the general partner of the foregoing entities and SCP Vitalife II GP, Ltd. (“SCP Vitalife GP”) is the general partner of SCP Vitalife Associates. Winston J. Churchill, Jeff Dykan, Abraham Ludomirski, and Wayne B. Weisman are the directors of SCP Vitalife GP and, as such, share voting and dispositive power over the shares held by the foregoing entities. The principal business address of SCP Vitalife Partners II, SCP Vitalife Associates, SCP Vitalife GP, and Messrs. Churchill and Weisman is 1200 Liberty Ridge Drive, Suite 300, Wayne, Pennsylvania 19087. The principal business address of SCP Vitalife Partners Israel II, Vitalife Partners Israel, Vitalife Partners Overseas, Vitalife Partners DCM, Mr. Dykan and Dr. Ludomirski is 32B Habarzel Street, Ramat Hachayal, Tel Aviv 69710, Israel.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hanging="452"/>
        <w:spacing w:after="0" w:line="25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Yaskawa Electric Corporation is a widely-held Japanese corporation the securities of which are listed on the Tokyo Stock Exchange. Its address is 2-1 Kurosakishiroishi, Yahatanishi-ku, Kitakyushu 806-0004, Japan.</w:t>
      </w:r>
    </w:p>
    <w:p>
      <w:pPr>
        <w:ind w:left="460" w:right="4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1,214,676 ordinary shares and warrants to purchase 262,026 ordinary shares held by Israel Healthcare Ventures 2 L.P. (“IHCV”). Warrants to purchase 153,090 ordinary shares held by IHCV will be exercised on a cashless basis immediately prior to the closing of this offering resulting in the issuance of 77,886 ordinary shares to IHCV. IHCV2 General Partner Limited, a company incorporated under the laws of the Island of Guernsey, is the sole general partner of IHCV, and has voting control and investment power over the shares held by IHCV, but disclaims beneficial ownership of such shares except to the extent of its pecuniary interest therein. IHCV2 General Partner Limited has authorized Mr. Gordon Snelling and/or Mrs. P.M. Witford to exercise its voting and dispositive rights. The shareholder’s address is Level Four North, Town Mills Trinity Square, St. Peter Port, GY1 3HN, Island of Guernsey.</w:t>
      </w:r>
    </w:p>
    <w:p>
      <w:pPr>
        <w:spacing w:after="0" w:line="3"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358,506 ordinary shares and warrants to purchase 81,180 ordinary shares held by Pontifax (Cayman) II, L.P., 269,478 ordinary shares and warrants to purchase 61,146 ordinary shares held by Pontifax (Israel) II, L.P., and 104,688 ordinary shares and warrants to purchase 23,760 ordinary shares held by Pontifax (Israel) II—Individual Investors, L.P. Warrants to purchase 42,750 ordinary shares held by Pontifax (Cayman) II, L.P., warrants to purchase 32,202 ordinary shares held by Pontifax (Israel) II, L.P. and warrants to purchase 12,528 ordinary shares held by Pontifax (Israel) II – Individual Investors, L.P. will be exercised on a cashless basis immediately prior to the closing of this offering resulting in the issuance of 21,744, 16,380 and 6,732 ordinary shares, respectively, to those entities. Pontifax Management II L.P. (“Pontifax Management”) is the general partner of the foregoing entities, and Pontifax Management 2 G.P. (2007) Ltd. (“Pontifax Management GP”) is the general partner of Pontifax Management. Mr. Tomer Kariv and Mr. Ran Nussbaum are directors of Pontifax Management GP and, as such, hold voting and/or dispositive power over the shares held by these entities. The principal business address of the foregoing entities and individuals is 14 Shenkar Street, Herzeliya 46140, Israel.</w:t>
      </w:r>
    </w:p>
    <w:p>
      <w:pPr>
        <w:spacing w:after="0" w:line="6"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250,524 ordinary shares and warrants to purchase 30,852 ordinary shares held by OurCrowd Investment in Argo L.P., 36,486 ordinary shares and warrants to purchase 4,752 ordinary shares held by OurCrowd Investment in Argo – II L.P., 50,994 ordinary shares and warrants to purchase 25,506 ordinary shares held by OurCrowd Investment in Argo – III L.P., 50,994 ordinary shares and warrants to purchase 25,506 ordinary shares held by OurCrowd Investment in Argo – IV L.P., 51,678 ordinary shares and warrants to purchase 25,848 ordinary shares held by OurCrowd Investment in Argo – V L.P. and 4,860 ordinary shares and warrants to purchase 2,430 ordinary shares held by OurCrowd International Investment II L.P. The general partner of each of these entities is OurCrowd International Limited. Jonathan Medved and Steven Blumgart are the directors of OurCrowd International Limited, and as such, share voting and dispositive power over the securities held by each of these entities. The principal business address of these entities is 14 Rabbi Akiva Street, Jerusalem, Israel.</w:t>
      </w:r>
    </w:p>
    <w:p>
      <w:pPr>
        <w:spacing w:after="0" w:line="5"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444,186 ordinary shares and warrants to purchase 27,954 ordinary shares held by Previz Ventures L.P. (“Previz”). Warrants to purchase 4,374 ordinary shares held by Previz will be exercised for cash immediately prior to the closing of this offering resulting in the issuance of 4,374 ordinary shares to Previz. The general partner of Previz is Previz Ventures Management Ltd., a limited liability company in Israel, owned in equal shares by Mr. Dan Baruchi and Mr. Eliav Azulay-Oz, who also serve as its sole directors and, as such, share voting and dispositive power over the securities held by Previz. The principal business address of the foregoing entities and individuals is Ackerstein Towers, Building D, 10th Floor, 12 Abba Eban Avenue, Herzeliya 46725, Israel.</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options to purchase ordinary shares.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161,622 ordinary shares and options to purchase 68,598 ordinary shares. The “Shares Beneficially Owned After the Offering” column also includes 326,034 ordinary shares that Dr. Goffer has the right to receive immediately prior to the closing of this offering pursuant to our Articles of Association and our Fourth Amended and Restated Shareholders Agreement. See “Certain Relationships and Related Party Transactions—Arrangements with Founder.”</w:t>
      </w:r>
    </w:p>
    <w:p>
      <w:pPr>
        <w:spacing w:after="0" w:line="1"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ordinary shares beneficially owned by entities affiliated with SCP Vitalife Partners. For information about the relationship between Mr. Dykan and entities affiliated with SCP Vitalife Partners, see footnote (1) above.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hanging="452"/>
        <w:spacing w:after="0" w:line="254"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ordinary shares beneficially owned by entities affiliated with SCP Vitalife Partners. For information about the relationship between Mr. Weisman and entities affiliated with SCP Vitalife Partners, see footnote (1) above.</w:t>
      </w:r>
    </w:p>
    <w:p>
      <w:pPr>
        <w:jc w:val="both"/>
        <w:ind w:left="460" w:hanging="452"/>
        <w:spacing w:after="0" w:line="254"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1,959,858 ordinary shares, warrants to purchase 82,368 ordinary shares, options to purchase 281,862 ordinary shares and 39,276 ordinary shares currently held by OCS. For more information about the shares held by OCS, see footnote (1) above. The “Shares Beneficially Owned After the Offering” column consists of 2,285,892 ordinary shares, warrants to purchase 69,156 ordinary shares, options to purchase 281,862 ordinary shares and 39,276 ordinary shares currently held by OCS.</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40"/>
          </w:cols>
          <w:pgMar w:left="240" w:top="459" w:right="6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80" w:firstLine="2887"/>
        <w:spacing w:after="0" w:line="394" w:lineRule="auto"/>
        <w:rPr>
          <w:sz w:val="20"/>
          <w:szCs w:val="20"/>
          <w:color w:val="auto"/>
        </w:rPr>
      </w:pPr>
      <w:r>
        <w:rPr>
          <w:rFonts w:ascii="Arial" w:cs="Arial" w:eastAsia="Arial" w:hAnsi="Arial"/>
          <w:sz w:val="18"/>
          <w:szCs w:val="18"/>
          <w:b w:val="1"/>
          <w:bCs w:val="1"/>
          <w:color w:val="auto"/>
        </w:rPr>
        <w:t>CERTAIN RELATIONSHIPS AND RELATED PARTY TRANSACTIONS Series C Preferred Share Purchase Agreement</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July 26, 2011, we entered into a Share Purchase Agreement with Israel Healthcare Ventures 2 L.P. Incorporated (“IHCV”), entities affiliated with Pontifax (Cayman) II L.P. (the “Pontifax Entities”), entities affiliated with SCP Vitalife Partners II, L.P. (the “SCP Vitalife Entities”) and the other parties named therein (the “Series C SPA”). At the time we entered into the Series C SPA, the SCP Vitalife Entities held our preferred shares, warrants to purchase our preferred shares and convertible loans previously made to us. Pursuant to the Series C SPA:</w:t>
      </w:r>
    </w:p>
    <w:p>
      <w:pPr>
        <w:spacing w:after="0" w:line="62" w:lineRule="exact"/>
        <w:rPr>
          <w:sz w:val="20"/>
          <w:szCs w:val="20"/>
          <w:color w:val="auto"/>
        </w:rPr>
      </w:pPr>
    </w:p>
    <w:p>
      <w:pPr>
        <w:ind w:left="780" w:right="24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issued an aggregate of 51,976 of our Preferred C-1 shares and warrants to purchase an aggregate of 15,593 of our Preferred C-1 Shares to IHCV and the Pontifax Entities for an aggregate purchase price in cash of $5.5 million.</w:t>
      </w:r>
    </w:p>
    <w:p>
      <w:pPr>
        <w:spacing w:after="0" w:line="50" w:lineRule="exact"/>
        <w:rPr>
          <w:rFonts w:ascii="Arial" w:cs="Arial" w:eastAsia="Arial" w:hAnsi="Arial"/>
          <w:sz w:val="18"/>
          <w:szCs w:val="18"/>
          <w:color w:val="auto"/>
        </w:rPr>
      </w:pPr>
    </w:p>
    <w:p>
      <w:pPr>
        <w:ind w:left="780" w:right="100" w:hanging="326"/>
        <w:spacing w:after="0" w:line="335" w:lineRule="auto"/>
        <w:tabs>
          <w:tab w:leader="none" w:pos="7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We issued 11,341 of our Preferred C-1 Shares and warrants to purchase 3,402 of our Preferred C-1 Shares to the SCP Vitalife Entities for a purchase price in cash of $1.2 million. We also issued 6,182 of our Preferred C-2 Shares and warrants to purchase 1,483 of our Preferred C-1 Shares to the SCP Vitalife Entities in connection with the conversion of $0.5 million of principal and interest outstanding under convertible loans previously made to us.</w:t>
      </w:r>
    </w:p>
    <w:p>
      <w:pPr>
        <w:spacing w:after="0" w:line="7" w:lineRule="exact"/>
        <w:rPr>
          <w:rFonts w:ascii="Arial" w:cs="Arial" w:eastAsia="Arial" w:hAnsi="Arial"/>
          <w:sz w:val="15"/>
          <w:szCs w:val="15"/>
          <w:color w:val="auto"/>
        </w:rPr>
      </w:pPr>
    </w:p>
    <w:p>
      <w:pPr>
        <w:ind w:left="780" w:right="12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issued additional Preferred C-1 Shares and Preferred C-2 Shares and warrants to purchase Preferred C-1 Shares to other parties on the same terms as noted above.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Preferred C-1 Shares were issued at a price per share of $105.815 and the Preferred C-2 shares were issued at a price per share of $84.652. The convertible loans were made in 2010 and bore interest at an annual rate of 7%. The warrants have an exercise price of $105.815 per share and are exercisable until the earliest of: (i) three years from date of grant, (ii) the consummation of a specified change of control transaction, or (iii) the consummation of this offering. All of our Preferred C Shares have the same rights and preferences and shall automatically convert into ordinary shares immediately prior to the closing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 Share Purchase Agreement</w:t>
      </w:r>
    </w:p>
    <w:p>
      <w:pPr>
        <w:spacing w:after="0" w:line="9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On September 24, 2013, we entered into a Share Purchase Agreement with Yaskawa Electric Corporation, or Yaskawa, IHCV, the Pontifax Entities, the SCP Vitalife Entities and the other parties named therein (the “Series D SPA”). At the time we entered into the Series D SPA, IHCV, the Pontifax Entities, the SCP Vitalife Entities owned, and held warrants to purchase, our preferred shares and held convertible loans previously made to us. Pursuant to the Series D SPA:</w:t>
      </w:r>
    </w:p>
    <w:p>
      <w:pPr>
        <w:spacing w:after="0" w:line="7" w:lineRule="exact"/>
        <w:rPr>
          <w:sz w:val="20"/>
          <w:szCs w:val="20"/>
          <w:color w:val="auto"/>
        </w:rPr>
      </w:pPr>
    </w:p>
    <w:p>
      <w:pPr>
        <w:ind w:left="780" w:right="140" w:hanging="326"/>
        <w:spacing w:after="0" w:line="332"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issued 82,645 of our Preferred D-1 Shares to Yaskawa for a purchase price in cash of $10.0 million (price per Preferred D-1 Share of $121.00). In connection with this issuance, we entered into other agreements with Yaskawa. See “—Agreements with Yaskawa.”</w:t>
      </w:r>
    </w:p>
    <w:p>
      <w:pPr>
        <w:spacing w:after="0" w:line="4"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issued an aggregate of 67,591 of our Preferred D-2 shares to IHCV, the Pontifax Entities and the SCP Vitalife Entities in connection with the conversion of an aggregate of $6.5 million of principal and interest outstanding under convertible loans previously made to us (price per Preferred D-2 Share of $96.80).</w:t>
      </w:r>
    </w:p>
    <w:p>
      <w:pPr>
        <w:spacing w:after="0" w:line="59"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issued additional Preferred D-2 shares to other parties at the same price per share noted above and issued Preferred D-3 Shares and Preferred D-4 shares to other parties.</w:t>
      </w:r>
    </w:p>
    <w:p>
      <w:pPr>
        <w:spacing w:after="0" w:line="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convertible loans were made from December 2012 through June 2013 and bore interest at an annual rate of 7%. All of our Preferred D Shares have the same rights and preferences and will automatically convert into ordinary shares immediately prior to the closing of this offering.</w:t>
      </w:r>
    </w:p>
    <w:p>
      <w:pPr>
        <w:spacing w:after="0" w:line="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Series D SPA provides that Yaskawa shall be issued 1,377 additional Preferred D-1 Shares for no consideration on April 1, May 1, June 1 and July 1, 2014, and shall be issued an additional 1,378 Preferred D-1 Shares for no consideration on August 1 and September 1, 2014, if the following two events have not occurred as of such date: (i) receipt of FDA clearance to market ReWalk Personal in the United States and (ii) reimbursement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by any German insurance provider of the full cost of at least one ReWalk Personal. Pursuant to this arrangement, we issued 1,377 Preferred D Shares to Yaskawa on each of April 1, May 1 and June 1, 2014. As of June 30, 2014, Yaskawa agreed that both of these events had been satisfied.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 Line of Credit</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June 19, 2014, we entered into a loan agreement with Kreos Capital IV (Expert Fund) Limited, or Kreos, pursuant to which Kreos agreed to extend a line of credit to us of $5.0 million. In connection with this extension of credit, we granted Kreos warrants to purchase 5,372 preferred shares, or to the extent exercised after the closing of this offering, the same number of ordinary shares. As of August 1, 2014, Kreos beneficially owned 1.6% of our ordinary shares. See “Management’s Discussion and Analysis of Financial Condition and Results of Operations—Liquidity and Capital Resources—Kreos Line of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Preferred Securities Purchase Agreement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26, 2014, we entered into a Securities Purchase Agreement with Gabriel Capital Fund (US), L.P. and affiliated entities (together, “Gabriel”), and the other parties named therein (the “Series E SPA”). The price per share of our Preferred E Shares reflected in the Series E SPA had been set forth in a non-binding term sheet dated June 9, 2014, prior to our receipt of FDA clearance to market ReWalk Personal in the United States. The transaction closed in July 2014. At the time we entered into the Series E SPA, certain parties thereto, including entities affiliated with SCP Vitalife Partners, Israel Healthcare Ventures 2 L.P., entities affiliated with Pontifax and Previz Ventures L.P., owned, and held warrants to purchase, our preferred shares.</w:t>
      </w:r>
    </w:p>
    <w:p>
      <w:pPr>
        <w:spacing w:after="0" w:line="3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the Series E SPA, we issued an aggregate of 75,695 of our Preferred E Shares and warrants to purchase an aggregate of 37,850 Preferred E Shares (which, to the extent they are outstanding following the closing of this offering, shall convert on a one-to-one basis into warrants to purchase our ordinary shares) to Gabriel and the other investors named in the Series E SPA for an aggregate purchase price in cash of $13.0 million. The Preferred E Shares were issued at a price of $171.74 per share. The warrants have an exercise price of $206.09 per share and are exercisable until four years from date of grant, subject to certain adjustments.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Shareholders’ Rights Agreement</w:t>
      </w:r>
    </w:p>
    <w:p>
      <w:pPr>
        <w:spacing w:after="0" w:line="96"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In connection with our series E financing round, we entered into an Amended and Restated Shareholders’ Rights Agreement with certain of our shareholders (collectively, the “Significant Shareholders”) which provides each of those shareholders with the registration rights described below. For a description of the shareholdings of these shareholders, see “Principal Shareholders.”</w:t>
      </w:r>
    </w:p>
    <w:p>
      <w:pPr>
        <w:spacing w:after="0" w:line="5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Form F-1 Demand Rights</w:t>
      </w:r>
      <w:r>
        <w:rPr>
          <w:rFonts w:ascii="Arial" w:cs="Arial" w:eastAsia="Arial" w:hAnsi="Arial"/>
          <w:sz w:val="16"/>
          <w:szCs w:val="16"/>
          <w:color w:val="auto"/>
        </w:rPr>
        <w:t>. At any time following the closing of this offering, subject to the 180-day lock-up agreements entered into with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this offering, upon the written request of the requisite holders, we will be required to file a registration statement on Form F-1 with respect to the Registrable Securities (as defined below) requested to be included in the registration statement. Following a request to effect such a registration, we will be required to give notice of the request to the other Significant Shareholders and offer them an opportunity to include their Registrable Securities in the registration statement. We will not be required to effect more than four registrations on Form F-1. Of the four potential demand registrations: (i) one may be initiated by the holders of at least 65% of the issued and outstanding preferred shares, including Yaskawa, (ii) one may be initiated by the holders of at least 65% of the issued and outstanding preferred shares, including IHCV, (iii) one may be initiated by the holders of at least 65% of the issued and outstanding preferred shares, including the SCP Vitalife Entities and (iv) one may be initiated by the holders of at least 50% of the issued and outstanding preferred E shares. “Registrable Securities” means (i) our ordinary shares to be issued upon conversion of our preferred shares, (ii) our ordinary shares held by our founder, (iii) shares issued in respect of shares referred to in (i) and (ii) above and (iv) any shares issued pursuant to a share split, combination thereof or other similar recapitalization with respect to any of the shares described in clauses (i), (ii) or (iii) above.</w:t>
      </w:r>
    </w:p>
    <w:p>
      <w:pPr>
        <w:spacing w:after="0" w:line="4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Form F-3 Demand Rights. </w:t>
      </w:r>
      <w:r>
        <w:rPr>
          <w:rFonts w:ascii="Arial" w:cs="Arial" w:eastAsia="Arial" w:hAnsi="Arial"/>
          <w:sz w:val="18"/>
          <w:szCs w:val="18"/>
          <w:color w:val="auto"/>
        </w:rPr>
        <w:t>After we become eligible under applicable securities laws to file a registration statement on Form F-3, which will not be until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12 months after the closing of this offering, upon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request of any holder of our preferred shares, we will be required to file a registration statement on Form F-3 in respect of such Registrable Securities. Following a request to effect such a registration, we will be required to give notice of the request to the other Significant Shareholders and offer them an opportunity to include their Registrable Securities in the registration statement. We will not be required to effect an offering pursuant to a registration statement on Form F-3 more than twice in any 12-month period and are only required to do so if the aggregate proceeds from any such offering are estimated in good faith to be in excess of $1.0 million.</w:t>
      </w:r>
    </w:p>
    <w:p>
      <w:pPr>
        <w:spacing w:after="0" w:line="6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Following the closing of this offering, holders of Registrable Securities will have the right to request that we include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in any registration statement filed by us in the future for the purposes of a public offering by us or any other person other than holders of Registrable Securities, subject to specified exceptions.</w:t>
      </w:r>
    </w:p>
    <w:p>
      <w:pPr>
        <w:spacing w:after="0" w:line="59"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i w:val="1"/>
          <w:iCs w:val="1"/>
          <w:color w:val="auto"/>
        </w:rPr>
        <w:t>Cutback</w:t>
      </w:r>
      <w:r>
        <w:rPr>
          <w:rFonts w:ascii="Arial" w:cs="Arial" w:eastAsia="Arial" w:hAnsi="Arial"/>
          <w:sz w:val="16"/>
          <w:szCs w:val="16"/>
          <w:color w:val="auto"/>
        </w:rPr>
        <w:t>. In the event that the managing underwriter of shares to be distributed pursuant to a demand registration or in connection with a piggyback</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advises holders of Registrable Securities that marketing factors require a limitation on the number of shares that can be included in the offering, Registrable Securities will be included in the registration statement in an agreed order of preference among the holders of registration rights.</w:t>
      </w:r>
    </w:p>
    <w:p>
      <w:pPr>
        <w:spacing w:after="0" w:line="2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All registration rights described above will terminate on the fifth anniversary of the closing of this offering. In addition, with respect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registrable securities that holds less than 5% of our outstanding shares, registration rights will terminate when the shares held by such shareholder can be sold within a 90 day period pursuant to Rule 144 under the Securities Act.</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We will pay all expenses in carrying out the foregoing registrations other than selling shareholders’ underwriting discounts and commissions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Founder</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our articles of association in effect prior to this offering and the Fourth Amended and Restated Shareholders Agreement to become effective prior to the consummation of this offering, immediately prior to the closing of this offering, our founder, Dr. Amit Goffer, has the right to receive, for no consideration, shares or immediately exercisable options with cashless exercise in an amount such that the value of his interests equals 6% of our valuation. We will issue 326,034 ordinary shares to Dr. Goffer pursuant to this right immediately prior to the closing of this offering. See “Principal Shareholders.”</w:t>
      </w:r>
    </w:p>
    <w:p>
      <w:pPr>
        <w:spacing w:after="0" w:line="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Although Dr. Goffer devotes the substantial majority of his time to us, we have also entered into an agreement with him related to his independent business venture, Rehamed Technologies Ltd. This agreement provides that, among other things, Dr. Goffer’s obligations, duties and responsibilities to us shall not be adversely affected by such venture, and we shall have the royalty-free right to use at our sole discretion, at any time and on an exclusive basis, any intellectual property which is not our property and which is developed by Dr. Goffer, alone or jointly with others, during the period in which Dr. Goffer is our employee, consultant or board member and three years thereafter, in the field of exoskeleton only, and all derivatives thereof created by or for us shall be exclusively owned by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Yaskawa</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September 24, 2013, we entered into a Strategic Alliance Agreement with Yaskawa Electric Corporation. Pursuant to the Strategic Alliance Agreement, we and Yaskawa will collaborate in the following areas, among others:</w:t>
      </w:r>
    </w:p>
    <w:p>
      <w:pPr>
        <w:spacing w:after="0" w:line="51" w:lineRule="exact"/>
        <w:rPr>
          <w:sz w:val="20"/>
          <w:szCs w:val="20"/>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marketing, distribution and commercialization of our products by Yaskawa, subject to a separate distribution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marketing and distribution of future Yaskawa healthcare equipment products by us in the scope of our sales network;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improvement and quality control of our products by applying Yaskawa’s know-how and expertise in motion control and robotics.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Strategic Alliance Agreement also provides for the creation of a joint steering committee to meet quarterly to review, among other things, sales targets for our products by Yaskawa, opportunities for us to sell Yaskawa products, possibilities for quality improvements to our products by applying Yaskawa’s expertise and future research and development for our products. In the future, subject to any necessary regulatory clearance, we are entitled to market and sell certain of Yaskawa’s products currently under development, which consist of complementary products to the ReWalk, in the United States and Europe. While the terms of any such arrangement, including with respect to any compensation we may receive, have not yet been agreed, we expect that any such compensation would take the form of a percentage discount off of each product’s list price or another customary arrangement. The term of the agreement is ten years, but it may be terminated by either party after seven years or upon 60 days’ notice in the event of an uncured default under the agreement.</w:t>
      </w:r>
    </w:p>
    <w:p>
      <w:pPr>
        <w:spacing w:after="0" w:line="3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and Yaskawa also entered into an Exclusive Distribution Agreement which provides that Yaskawa will be our exclusive distributor in Japan, China (including Hong Kong and Macau), Taiwan, South Korea, Singapore and Thailand. In addition, if we desire to sell any exoskeleton products into any regional market in the Asian and Pacific regions (other than Australia, New Zealand or India), Yaskawa will have a right of first refusal to serve as distributor in those markets, subject to an agreement on minimum purchase requirements. In addition, if we offer better pricing to any other distributor than what we offer Yaskawa, Yaskawa will be entitled to that pricing. The initial term of the Exclusive Distribution Agreement is ten years. Either party may terminate the agreement upon 90 days’ written notice after seven years or upon an event of default under the agreement or a bankruptcy event of the other party. Through August 1, 2014, Yaskawa had paid us an aggregate of $265,000 pursuant to this agreement.</w:t>
      </w:r>
    </w:p>
    <w:p>
      <w:pPr>
        <w:spacing w:after="0" w:line="3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entered into an agreement with Yaskawa obligating us to provide seven days’ notice to Yaskawa in the event that we receive and are considering an acquisition proposal. That agreement will automatically terminate upon the closing of this offering.</w:t>
      </w:r>
    </w:p>
    <w:p>
      <w:pPr>
        <w:spacing w:after="0" w:line="5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connection with entering into these agreements, Yaskawa purchased our Series D-1 Preferred Shares. See “— Series D Preferred Share Purchase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Employment Agreements</w:t>
      </w:r>
      <w:r>
        <w:rPr>
          <w:rFonts w:ascii="Arial" w:cs="Arial" w:eastAsia="Arial" w:hAnsi="Arial"/>
          <w:sz w:val="16"/>
          <w:szCs w:val="16"/>
          <w:color w:val="auto"/>
        </w:rPr>
        <w:t>. We have entered into written employment agreements with each of our executive officers. These agreements provide for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Since our inception we have granted options to purchase our ordinary shares to our officers and certain of our directors. Such option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may contain acceleration provisions upon certain merger, acquisition, or change of control transactions. We describe our option plans under “Management— Share Option Plans.” If the relationship between us and an executive officer or a director is terminated, except for cause (as defined in the various option plan agreements), options that are vested will generally remain exercisable for ninety days after such termination.</w:t>
      </w:r>
    </w:p>
    <w:p>
      <w:pPr>
        <w:spacing w:after="0" w:line="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Exculpation, Indemnification and Insurance</w:t>
      </w:r>
      <w:r>
        <w:rPr>
          <w:rFonts w:ascii="Arial" w:cs="Arial" w:eastAsia="Arial" w:hAnsi="Arial"/>
          <w:sz w:val="18"/>
          <w:szCs w:val="18"/>
          <w:color w:val="auto"/>
        </w:rPr>
        <w:t>. Our articles of association permit us to exculpate, indemnify and insure certain of our office holders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fullest extent permitted by the Israeli Companies Law. We have entered into indemnification agreements with our office holders, exculpating them from a breach of their duty of care to us to the fullest extent permitted by law and undertaking to indemnify them to the fullest extent permitted by law, subject to certain exceptions, including with respect to liabilities resulting from this offering to the extent that these liabilities are not covered by insurance. See “Management— Indemnification, Insurance and Exculpation of Directors and Officers.”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descriptions of share capital and provisions of our articles of association are summaries and are qualified by reference to the articles of association to be effective upon the closing of this offering. Copies of these documents will be filed with the SEC as exhibits to our registration statement, of which this prospectus forms a part. The description of the ordinary shares reflects changes to our capital structure that will occur upon the closing of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Upon the closing of this offering, our authorized share capital will consist solely of 250,000,000 ordinary shares, par value NIS 0.01 per share, of which 11,517,356 shares will be issued and outstanding (assuming that the underwriters do not exercise their option to purchase additional ordinary shares).</w:t>
      </w:r>
    </w:p>
    <w:p>
      <w:pPr>
        <w:spacing w:after="0" w:line="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of our issued and outstanding ordinary shares are validly issued, fully paid and non-assessable. Our ordinary shares are not redeemable and do not have any preemptive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registration number with the Israeli Registrar of Companies is 51-3121376. Our purpose as set forth in our articles of association is to engage in any lawful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Pursuant to our articles of association, holders of our ordinary shares have one vote for each ordinary share held on all matters submitted to a vote before the shareholders at a general meeting. Shareholders may vote at a general meeting either in person, by proxy or by written ballot.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 Share Ownership Restrictions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articles of association or the laws of the State of Israel, except for ownership by nationals of some countries that are, or have been, in a state of war with Israel.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5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our articles of association, our board of directors must consist of not less than five but no more than thirteen directors, including two external directors as required by the Israeli Companies Law. Pursuant to our articles of association, other than the external directors, for whom special election requirements apply under the Israeli Companies Law, the vote required to appoint a director is a simple majority vote of holders of our voting shares, participating and voting at the relevant meeting. In addition, our directors, other than the external directors, are divided into three classes that are each elected at a general meeting of our shareholders every three years, in a staggered fashion (such that one class is elected each year), and serve on our board of directors unless they are removed by a vote of 65% of the total voting power of our shareholders at a general or special meeting of our shareholders or upon the occurrence of certain events, in accordance with the Israeli Companies Law and our articles of association. In addition, our articles of association allow our board of directors to appoint new</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directors and appoint directors to fill vacancies on the board of directors to serve for a term of office equal to the remaining period of the term of office of the directors(s) whose office(s) have been vacated. External directors are elected for an initial term of three years, may be elected for additional terms of three years each under certain circumstances, and may be removed from office pursuant to the terms of the Israeli Companies Law. See “Management—Board of Directors— External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spacing w:after="0" w:line="6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Pursuant to the Israeli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profits accrued in the last two years, whichever is greater, according to the last reviewed or audited financial statements of the company, provided that the date of the financial statements is not more than six months before the distribution.</w:t>
      </w:r>
    </w:p>
    <w:p>
      <w:pPr>
        <w:spacing w:after="0" w:line="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of association as extraordinary general meetings. Our board of directors may call extraordinary general meetings whenever it sees fit, at such time and place, within or outside of Israel, as it may determine. In addition, the Israeli Companies Law provides that our board of directors is required to convene an extraordinary general meeting upon the written request of (i) any two of our directors or one-quarter of the members of our board of directors or (ii) one or more shareholders holding, in the aggregate, either (a) five percent or more of our outstanding issued shares and one percent of our outstanding voting power or (b) five percent or more of our outstanding voting power.</w:t>
      </w:r>
    </w:p>
    <w:p>
      <w:pPr>
        <w:spacing w:after="0" w:line="3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7" w:lineRule="exact"/>
        <w:rPr>
          <w:sz w:val="20"/>
          <w:szCs w:val="20"/>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Israeli Companies Law and our articles of association require that notice of any annual general meeting or extraordinary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2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the Israeli Companies Law and under our articles of association, shareholders are not permitted to take action via written consent in lieu of a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articles of association provide that all resolutions of our shareholders require a simple majority vote, unless otherwise required by the Israeli Companies Law or by our articles of association. Under the Israeli Companies Law, each of (i) the approval of an extraordinary transaction with a controlling shareholder and (ii) the terms of employment or other engagement of the controlling shareholder of the company or such controlling shareholder’s relative (even if not extraordinary) requires, the approval described above under “Management—Approval of related party transactions under Israeli law—Disclosure of personal interests of controlling shareholders and approval of certain transactions.” Under our articles of association, the alteration of the rights, privileges, preferences or obligations of any class of our shares requires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Israeli Companies Law, shareholders generally have the right to review: minutes of our general meetings; our shareholders register and principal shareholders register, our articles of association and annual financial statements; and any document that we are required by law to file publicly with the Israeli Companies Registrar or the Israel Securities Authority. In addition, shareholders may request to be provided with any document related to an action or transaction with a related party that requires shareholder approval under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related party transaction provisions of the Israeli Companies Law. We may deny a request to review a document if we believe it has not been made in good faith, that the document contains a trade secret or patent or that the document’s disclosure may otherwise impair our interests.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a discussion of registration rights we have granted to our existing shareholders prior to this offering, please see “Certain Relationships and Related Party Transactions—Amended and Restated Shareholders’ Rights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Full Tender Offer</w:t>
      </w:r>
      <w:r>
        <w:rPr>
          <w:rFonts w:ascii="Arial" w:cs="Arial" w:eastAsia="Arial" w:hAnsi="Arial"/>
          <w:sz w:val="16"/>
          <w:szCs w:val="16"/>
          <w:color w:val="auto"/>
        </w:rPr>
        <w:t>. A person wishing to acquire shares of an Israeli public company and who would as a result hold over 90% of the target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share capital (or of a class thereof) is required by the Israeli Companies Law to make a tender offer to all of the company’s shareholders for the purchase of all of the issued and outstanding shares of the company (or the applicable class). If as a result of a full tender offer the purchaser would own more than 95%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The law provides for appraisal rights if any shareholder files a request in court within six months following the consummation of a full tender offer, but the purchaser is entitled to stipulate that tendering shareholders forfeit their appraisal rights. If as a result of a full tender offer the purchaser would own 95% or less of the issued and outstanding share capital of the company or of the applicable class, the purchaser may not acquire shares that will cause its shareholding to exceed 90% of the issued and outstanding share capital of the company or of the applicable class.</w:t>
      </w:r>
    </w:p>
    <w:p>
      <w:pPr>
        <w:spacing w:after="0" w:line="3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Special Tender Offer</w:t>
      </w:r>
      <w:r>
        <w:rPr>
          <w:rFonts w:ascii="Arial" w:cs="Arial" w:eastAsia="Arial" w:hAnsi="Arial"/>
          <w:sz w:val="15"/>
          <w:szCs w:val="15"/>
          <w:color w:val="auto"/>
        </w:rPr>
        <w:t>. The Israeli Companies Law provides that an acquisition of shares of an Israeli public company must be made by means of a special</w:t>
      </w:r>
      <w:r>
        <w:rPr>
          <w:rFonts w:ascii="Arial" w:cs="Arial" w:eastAsia="Arial" w:hAnsi="Arial"/>
          <w:sz w:val="15"/>
          <w:szCs w:val="15"/>
          <w:i w:val="1"/>
          <w:iCs w:val="1"/>
          <w:color w:val="auto"/>
        </w:rPr>
        <w:t xml:space="preserve"> </w:t>
      </w:r>
      <w:r>
        <w:rPr>
          <w:rFonts w:ascii="Arial" w:cs="Arial" w:eastAsia="Arial" w:hAnsi="Arial"/>
          <w:sz w:val="15"/>
          <w:szCs w:val="15"/>
          <w:color w:val="auto"/>
        </w:rPr>
        <w:t>tender offer if as a result of the acquisition the purchaser would become a holder of 25% or more of the voting rights in the company, unless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controlling shareholders, holders of 25% or more of the voting rights in the company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3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Merger</w:t>
      </w:r>
      <w:r>
        <w:rPr>
          <w:rFonts w:ascii="Arial" w:cs="Arial" w:eastAsia="Arial" w:hAnsi="Arial"/>
          <w:sz w:val="18"/>
          <w:szCs w:val="18"/>
          <w:color w:val="auto"/>
        </w:rPr>
        <w:t>. The Israeli Companies Law permits merger transactions if approved by each party’s board of directors and, unless certain requirements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Israeli Companies Law are met, by a majority vote of each party’s shares, and, in the case of the target company, a majority vote of each class of its shares, voted on the proposed merger at a shareholders meeting.</w:t>
      </w:r>
    </w:p>
    <w:p>
      <w:pPr>
        <w:spacing w:after="0" w:line="5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case may be) 25% or more of the voting rights or the right to appoint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“Management—Approval of related party transactions under Israeli law—Disclosure of personal interests of controlling shareholders and approval of certain transactions”).</w:t>
      </w:r>
    </w:p>
    <w:p>
      <w:pPr>
        <w:spacing w:after="0" w:line="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w:t>
      </w:r>
    </w:p>
    <w:p>
      <w:pPr>
        <w:spacing w:after="0" w:line="6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Israeli Companies Law allow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Upon the listing of our ordinary shares for trading on the Nasdaq Global Market, the transfer agent and registrar for our ordinary shares will be American Stock Transfer &amp; Trust Company, LLC. Its address is 6201 15</w:t>
      </w:r>
      <w:r>
        <w:rPr>
          <w:rFonts w:ascii="Arial" w:cs="Arial" w:eastAsia="Arial" w:hAnsi="Arial"/>
          <w:sz w:val="10"/>
          <w:szCs w:val="10"/>
          <w:color w:val="auto"/>
        </w:rPr>
        <w:t>th</w:t>
      </w:r>
      <w:r>
        <w:rPr>
          <w:rFonts w:ascii="Arial" w:cs="Arial" w:eastAsia="Arial" w:hAnsi="Arial"/>
          <w:sz w:val="16"/>
          <w:szCs w:val="16"/>
          <w:color w:val="auto"/>
        </w:rPr>
        <w:t xml:space="preserve"> Avenue, Brooklyn, New York 11219, and its telephone number is (800) 937-5449.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ordinary shares listed on the Nasdaq Global Market under the symbol “RWLK.”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ordinary shares. Future sales of substantial amounts of ordinary shares, including shares issued upon the exercise of outstanding options, in the public market after this offering, or the possibility of these sales occurring, could adversely affect the prevailing market price for our ordinary shares or impair our ability to raise equity capital.</w:t>
      </w:r>
    </w:p>
    <w:p>
      <w:pPr>
        <w:spacing w:after="0" w:line="5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Upon completion of this offering, we will have an aggregate of 11,517,356 ordinary shares outstanding. Of these shares, the 3,350,000 shares sold in this offering by us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 The remaining 8,167,356 shares, representing 70.9% of our outstanding shares will be held by our existing shareholders. These shares will be “restricted securities” as that phrase is defined in Rule 144 under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our executive officers and directors, and the holders of substantially all of our outstanding ordinary shares, have agreed not to offer, sell, agree to sell, directly or indirectly, or otherwise dispose of any ordinary shares or any securities convertible into or exchangeable for ordinary shares except for the ordinary shares offered in this offering without the prior written consent of Barclays Capital Inc. and Jefferies LLC for a period of 180 days after the date of this prospectus, subject to certain customary exceptions.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Beginning 180 days after the date of this prospectus, up to approximately 8.2 million ordinary shares held by existing shareholders will be eligible for sale into the public market under the provisions of Rule 144, approximately 5.1 million of which will be subject to volume, manner of sale and other limitations discussed below under “—Rule 144.”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3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then outstanding ordinary shares or the average weekly trading volume of our ordinary shares during the four calendar weeks preceding such sale. Such sales are also subject to certain manner of sale provisions, notice requirements and the availability of current public information about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Following the completion of this offering, we intend to file a registration statement on Form S-8 under the Securities Act to register 1,396,746 ordinary shares reserved for issuance under our equity incentive plans. The registration statement on Form S-8 will become effective automatically upon filing.</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and Rule 144 volume limitations applicable to our affiliates, be available for sale in the open market immediately after the 180-day lock-up agreements executed in connection with this offering expire.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Following the completion of this offering, the beneficial owners of up to 9,039,024 ordinary shares are entitled to request that we register their ordinary shares under the 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affiliates, immediately upon the effectiveness of such registration. See “Certain Relationships and Related Party Transactions—Amended and Restated Shareholders’ Rights Agreement.” Any sales of securities by these shareholders could have a material adverse effect on the trading price of our ordinary shares.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summary of the material Israeli tax laws applicable to us and certain Israeli Government programs that benefit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August 2013, the Israeli Knesset approved an increase in the corporate tax rate for Israeli companies to 26.5% of taxable income for 2014 and thereafter. However, the effective tax rate payable by a company that derives income from a Beneficiary Enterprise or a Preferred Enterprise (as discussed below) may be considerably less. Capital gains derived by an Israeli company are subject to tax at the prevailing corporate tax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Industry (Taxes), 5729-1969</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Law for the Encouragement of Industry (Taxes), 5729-1969, generally referred to as the Industry Encouragement Law, provides several tax benefits for “Industrial Companies.” We believe that we currently qualify as an Industrial Company within the meaning of the Industry Encouragement Law.</w:t>
      </w:r>
    </w:p>
    <w:p>
      <w:pPr>
        <w:spacing w:after="0" w:line="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90" w:lineRule="exact"/>
        <w:rPr>
          <w:sz w:val="20"/>
          <w:szCs w:val="20"/>
          <w:color w:val="auto"/>
        </w:rPr>
      </w:pPr>
    </w:p>
    <w:p>
      <w:pPr>
        <w:ind w:left="780" w:right="80" w:hanging="326"/>
        <w:spacing w:after="0" w:line="268"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Industrial Enterprise;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Eligibility for benefits under the Industry Encouragement Law is not contingent upon the approval of any governmental authority. The Israeli tax authorities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5719-1959</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Subsequent to the 2005 Amendment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2005 Amendment applies to new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 Approved Enterprise, such as provisions generally requiring that at least 25% of the Beneficiary Approved income be derived from exports.</w:t>
      </w:r>
    </w:p>
    <w:p>
      <w:pPr>
        <w:spacing w:after="0" w:line="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2005 Amendment provides that a certificate of approval from the Investment Center will only be necessary for receiving cash grants. As a result, it was no longer necessary for a company to obtain a Beneficiary Enterprise certificate of approval in order to receive the tax benefits previously available under the alternative benefits track. Rather, a company may claim the tax benefits offered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“Beneficiary Enterprise” status, and may be made over a period of no more than three years from the end of the year in which the company chose to have the tax benefits apply to its Beneficiary Enterprise.</w:t>
      </w:r>
    </w:p>
    <w:p>
      <w:pPr>
        <w:spacing w:after="0" w:line="3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extent of the tax benefits available under the 2005 Amendment to qualifying income of a Beneficiary Enterprise depends on, among other things, the geographic location in Israel of the Beneficiary Enterprise. The location will also determine the period for which tax benefits are available. Such tax benefits include an exemption from corporate tax on undistributed income generated by the Beneficiary Enterprise for a period of between two to ten years, depending on the geographic location of the Beneficiary Enterprise in Israel, and a reduced corporate tax rate of between 10% to 25% for the remainder of the benefits period, depending on the level of foreign investment in the company in each year. The benefits period is limited to 12 or 14 years from the year the company first chose to have the tax benefits apply, depending on the location of the company. A company qualifying for tax benefits under the 2005 Amendment which pays a dividend out of income derived by its Beneficiary Enterprise during the tax exemption period will be subject to corporate tax in respect of the amount of the dividend (grossed-up to reflect the pre-tax income that it would have had to earn in order to distribute the dividend) at the corporate tax rate which would have otherwise been applicable. Dividends paid out of income attributed to a Beneficiary Enterprise are generally subject to withholding tax at source at the rate of 15% or such lower rate as may be provided in an applicable tax treaty.</w:t>
      </w:r>
    </w:p>
    <w:p>
      <w:pPr>
        <w:spacing w:after="0" w:line="4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benefits available to a Beneficiary Enterprise are subject to the fulfillment of conditions stipulated in the Investment Law and its regulations. If a company does not meet these conditions, it may be required to refund the amount of tax benefits, as adjusted by the Israeli consumer price index, and interest, or other monetary penalties.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Under the 2011 Amendment</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wholly-owned by a governmental entity, and that has, among other things, Preferred Enterprise status and is controlled and managed from Israel. Pursuant to the 2011 Amendment, a Preferred Company is entitled to a reduced corporate tax rate of 15% with respect to its income derived by its Preferred Enterprise in 2011 and 2012, unless the Preferred Enterprise is located in a specified development zone, in which case the rate will be 10%. Under the 2011 Amendment, such corporate tax rate was reduced from 15% and 10%, respectively, to 12.5% and 7%, respectively, in 2013 and 2014 and to 12% and 6% in 2015 and thereafter, respectively. However, in August 2013, the Israeli Knesset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approved an amendment to the Investment Law, pursuant to which such scheduled gradual reduction was repealed beginning in 2014 and the rates would revert to 16% and 9% (as applicable) in 2014 and thereafter. Our facilities are located in a specified development zone.</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Dividends paid out of income attributed to a Preferred Enterprise are generally subject to withholding tax at source at the rate of 15% or such lower rate as may be provided in an applicable tax treaty. However, if such dividends are paid to an Israeli company, no tax is required to be withheld (although, if such dividends are subsequently distributed to individuals or a non-Israeli company, withholding tax at a rate of 15% or such lower rate as may be provided in an applicable tax treaty will apply). Under the recent amendment, announced in August 2013, beginning in 2014, dividends paid out of income attributed to a Preferred Enterprise will be subject to a withholding tax rate of 20% (instead of 15%).</w:t>
      </w:r>
    </w:p>
    <w:p>
      <w:pPr>
        <w:spacing w:after="0" w:line="3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 Beneficiary Enterprise which chose to receive grants before the 2011 Amendment became effective will remain subject to the provisions of the Investment Law as in effect on the date of such approval, and subject to certain other conditions; (ii) terms and benefits included in any certificate of approval that was granted to a Beneficiary Enterprise which had participated in an alternative benefits track before the 2011 Amendment became effective will remain subject to the provisions of the Investment Law as in effect on the date of such approval, provided that certain conditions are met; and (iii) a Beneficiary Enterprise can elect to continue to benefit from the benefits provided to it before the 2011 Amendment came into effect, provided that certain conditions are met.</w:t>
      </w:r>
    </w:p>
    <w:p>
      <w:pPr>
        <w:spacing w:after="0" w:line="3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AND ISRAELI TAX CONSEQUENCES FOR OUR SHAREHOLDERS</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Israeli Tax Consequences</w:t>
      </w:r>
    </w:p>
    <w:p>
      <w:pPr>
        <w:spacing w:after="0" w:line="9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The following is a discussion of the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Taxes Applicable to Non-Israeli Resident Shareholders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non-Israeli resident who derives capital gains from the sale of shares in an Israeli resident company that were purchased after the company was listed for trading on a stock exchange outside of Israel will be exempt from Israeli tax so long as the shares were not held through a permanent establishment that the non-resident maintains in Israel.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a business income.</w:t>
      </w:r>
    </w:p>
    <w:p>
      <w:pPr>
        <w:spacing w:after="0" w:line="63"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attributed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such case, the sale, exchange or disposition of our ordinary shares should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the payment of the consideration may be subject to the withholding of Israeli tax at source.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Non-Israeli residents are generally subject to Israeli 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are generally subject to Israeli withholding tax at a rate of 25%, unless a different rate is provided under an applicable tax treaty, provided that a certificate from the Israeli Tax Authority allowing for a reduced withholding tax rate is obtained in advance. Under the United States-Israel Tax Treaty, the maximum rate of tax withheld at source in Israel on dividends paid to a holder of our ordinary shares who is a U.S. resident (for purposes of the United States-Israel Tax Treaty) is 25%. The United States Israel Tax Treaty provides for reduced tax rates on dividends if (a) the shareholder is a U.S. corporation holding at least 10% of our issued voting power during the part of the tax year that precedes the date of payment of the dividend and held such minimal percentage during the whole of its prior tax year, and (b) not more than 25% of the Israeli company’s gross income consists of interest or dividends, other than dividends or interest received from subsidiary corporations or corporations 50% or more of the outstanding voting shares of which is owned by the Israeli company. The reduced treaty rate, if applicable, is 15% in the case of dividends paid from income derived from Beneficiary or Preferred Enterprise or 12.5% otherwise. We cannot assure you that in the event we declare a dividend we will designate the income out of which the dividend is paid in a manner that will reduce shareholders’ tax liability.</w:t>
      </w:r>
    </w:p>
    <w:p>
      <w:pPr>
        <w:spacing w:after="0" w:line="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the dividend is attributable partly to income derived from a Beneficiary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following is a description of the material U.S. federal income tax consequences relating to the acquisition, ownership and disposition of our ordinary shares by a U.S. Holder (as defined below). This description addresses only the U.S.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32"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that received our shares as compensation for the performance of services;</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shares through such an entity;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holders that acquire ordinary shares as a result of holding or owning our preferred shares;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40"/>
          </w:cols>
          <w:pgMar w:left="240" w:top="459" w:right="3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holders whose “functional currency” is not the U.S. Dollar;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Moreover, this description does not address the U.S. federal estate, gift or alternative minimum tax consequences, or any state, local or foreign tax consequences, of the acquisition, ownership and disposition of our ordinary shares.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description is based on the U.S. Internal Revenue Code of 1968, as amended, or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or IRS, will not take a different position concerning the tax consequences of the acquisition, ownership and disposition of our ordinary shares or that such a position would not be sustained. Holders should consult their own tax advisors concerning the U.S. federal, state, local and foreign tax consequences of purchasing, owning and disposing of our ordinary shares in their particular circumstances.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United States federal income tax purposes, is:</w:t>
      </w:r>
    </w:p>
    <w:p>
      <w:pPr>
        <w:spacing w:after="0" w:line="113" w:lineRule="exact"/>
        <w:rPr>
          <w:sz w:val="20"/>
          <w:szCs w:val="20"/>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5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acquiring, owning and disposing of our ordinary shares in its particular circumstance.</w:t>
      </w:r>
    </w:p>
    <w:p>
      <w:pPr>
        <w:spacing w:after="0" w:line="2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acquiring, owning and disposing of our ordinary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Subject to the discussion below under “Passive Foreign Investment Company Considerations,” if you are a U.S. Holder, the gross amount of any distribution made to you with respect to our ordinary shares before reduction for any Israeli taxes withheld therefrom, other than certain distributions, if any, of our ordinary shares distributed pro rata to all our shareholders, generally will be includible in your income as dividend income to the extent such distribution is paid out of our current or accumulated earnings and profits as determined under U.S. federal income tax principles. We do not expect to maintain calculations of our earnings and profits under U.S. federal income tax principles. Therefore, if you are a U.S. Holder you should expect that the entire amount of any distribution generally will be reported as dividend income to you. Subject to applicable limitations, dividends paid to certain non-corporate U.S. Holders may qualify for the preferential rates of taxation with respect to dividends on ordinary shares if certain requirements, including stock holding period requirements, are satisfied by the recipient and the company is eligible for the benefits of the United States-Israel Tax Treaty. However,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such dividends will not be eligible for the dividends received deduction generally allowed to corporate U.S. Holders. To the extent that the amount of any distribution by us exceeds our current and accumulated earnings and profits as determined under U.S. federal income tax principles, it will be treated first as a return of your adjusted tax basis in our ordinary shares and thereafter as either long-term or short-term capital gain depending upon whether the U.S. Holder has held our ordinary shares for more than one year as of the time such distribution is received.</w:t>
      </w:r>
    </w:p>
    <w:p>
      <w:pPr>
        <w:spacing w:after="0" w:line="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Subject to certain conditions and limitations, Israeli tax withheld on dividends may be deducted from your taxable income or credited against your U.S. federal income tax liability. If you are a U.S. Holder, dividends paid to you with respect to our ordinary shares will generally be treated as foreign source income, which may be relevant in calculating your foreign tax credit limitation. However, for periods in which we are a “United Stated-owned foreign corporation,” a portion of dividends paid by us may be treated as U.S. source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4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 of Ordinary Shares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the discussion below under “Passive Foreign Investment Company Considerations,” if you are a U.S. Holder, you generally will recognize gain or loss on the sale, exchange or other taxable disposition of our ordinary shares equal to the difference between the amount realized on such sale, exchange or other taxable disposition and your adjusted tax basis in our ordinary shares, and such gain or loss will be capital gain or loss. The adjusted tax basis in an ordinary share generally will be equal to the cost of such ordinary share. Except as discussed below with respect to foreign currency gain or loss, if you are a non-corporate U.S. Holder, capital gain from the sale, exchange or other taxable disposition of ordinary shares is generally eligible for a preferential rate of taxation applicable to capital gains, if your holding period for such ordinary shares exceeds one year (i.e., such gain is long-term capital gain). The deductibility of capital losses for U.S. federal income tax purposes is subject to limitations under the Code. Any gain or loss that a U.S. Holder recognizes generally will be treated as U.S. source income or loss for foreign tax credit limitation purposes.</w:t>
      </w:r>
    </w:p>
    <w:p>
      <w:pPr>
        <w:spacing w:after="0" w:line="3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A U.S. Holder’s initial tax basis in the ordinary shares will generally be the U.S. dollar value of the purchase price of our ordinary shares on the date of purchase. If our ordinary shares are treated as traded on an “established securities market,” a cash basis U.S. Holder or, if it elects, an accrual basis U.S. Holder, will determine the U.S. dollar value of the cost of such ordinary shares by translating the amount paid at the spot rate of exchange on the settlement date of the purchase. Such an election by an accrual basis U.S. Holder must be applied consistently from year to year and cannot be revoked without the consent of the IRS. The amount realized generally will be the U.S. dollar value of the payment received determined on the date of disposition. If our ordinary shares are treated as traded on an established securities market, a cash basis taxpayer, or, if it elects, an accrual basis taxpayer, will determine the U.S. dollar value of the amount realized by translating the amount realized (as determined on the trade date) at the spot rate of exchange on the settlement date of the sale.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5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non-U.S. corporation will be classified as a PFIC for federal income tax purposes in any taxable year in which, after applying certain look-through rules with respect to the income and assets of subsidiaries, either:</w:t>
      </w:r>
    </w:p>
    <w:p>
      <w:pPr>
        <w:spacing w:after="0" w:line="51"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90"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at least 50% of the average quarterly value of its total gross assets (which, assuming we were a CFC for the year being tested may be measured by the adjusted tax basis of our assets or, if we were not a CFC, the total value of our assets may be measured in part by the market value of our ordinary shares, which is subject to change) is attributable to assets that produce “passive income” or are held for the production of passive income.</w:t>
      </w:r>
    </w:p>
    <w:p>
      <w:pPr>
        <w:spacing w:after="0" w:line="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3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Based on the composition of our income and the composition and estimated fair market values of our assets, we do not believe that we were a PFIC for the taxable year ended December 31, 2013 and based on our future projections, we do not expect to be a PFIC for the taxable year ending December 31, 2014. There can be no assurance that we will not be considered a PFIC for any taxable year. PFIC status is determined as of the end of the taxable year and depends on a number of factors, including the value of a corporation’s assets and the amount and type of its gross income. Furthermore, because the value of our gross assets is likely to be determined in large part by reference to our market capitalization, a decline in the value of our ordinary shares may result in our becoming a PFIC. Even though we have determined that we were not a PFIC for the year ended December 31, 2013, there can be no assurance that the IRS will agree with our conclusion.</w:t>
      </w:r>
    </w:p>
    <w:p>
      <w:pPr>
        <w:spacing w:after="0" w:line="6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2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If an entity is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3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However, we do not intend to comply with the necessary accounting and record keeping requirements that would allow a U.S. Holder to make a QEF election with respect to us.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3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4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Certain U.S. Holders who are individuals are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56"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Barclays Capital Inc. and Jefferies LLC are acting as the representatives of the underwriters and the joint book-running managers of this offering.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pacing w:after="0" w:line="4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Underwriters</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59"/>
        </w:trPr>
        <w:tc>
          <w:tcPr>
            <w:tcW w:w="6740" w:type="dxa"/>
            <w:vAlign w:val="bottom"/>
            <w:gridSpan w:val="2"/>
            <w:vMerge w:val="continue"/>
          </w:tcPr>
          <w:p>
            <w:pPr>
              <w:spacing w:after="0"/>
              <w:rPr>
                <w:sz w:val="13"/>
                <w:szCs w:val="13"/>
                <w:color w:val="auto"/>
              </w:rPr>
            </w:pPr>
          </w:p>
        </w:tc>
        <w:tc>
          <w:tcPr>
            <w:tcW w:w="102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Inc.</w:t>
            </w: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51" w:lineRule="exact"/>
        <w:rPr>
          <w:sz w:val="20"/>
          <w:szCs w:val="20"/>
          <w:color w:val="auto"/>
        </w:rPr>
      </w:pPr>
    </w:p>
    <w:p>
      <w:pPr>
        <w:ind w:left="780" w:right="28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(other than those ordinary shares covered by their option to purchase additional shares as described below), if any of the shares are purchased;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underwriting agreement also provides that if an underwriter defaults, the purchase commitments of non-defaulting underwriters may be increased or the offering may be terminated.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shares.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560" w:type="dxa"/>
            <w:vAlign w:val="bottom"/>
            <w:gridSpan w:val="2"/>
          </w:tcPr>
          <w:p>
            <w:pPr>
              <w:ind w:left="2880"/>
              <w:spacing w:after="0"/>
              <w:rPr>
                <w:sz w:val="20"/>
                <w:szCs w:val="20"/>
                <w:color w:val="auto"/>
              </w:rPr>
            </w:pPr>
            <w:r>
              <w:rPr>
                <w:rFonts w:ascii="Arial" w:cs="Arial" w:eastAsia="Arial" w:hAnsi="Arial"/>
                <w:sz w:val="14"/>
                <w:szCs w:val="14"/>
                <w:color w:val="auto"/>
                <w:w w:val="87"/>
              </w:rPr>
              <w:t>No Exercise</w:t>
            </w:r>
          </w:p>
        </w:tc>
        <w:tc>
          <w:tcPr>
            <w:tcW w:w="1600" w:type="dxa"/>
            <w:vAlign w:val="bottom"/>
            <w:gridSpan w:val="3"/>
          </w:tcPr>
          <w:p>
            <w:pPr>
              <w:ind w:left="780"/>
              <w:spacing w:after="0"/>
              <w:rPr>
                <w:sz w:val="20"/>
                <w:szCs w:val="20"/>
                <w:color w:val="auto"/>
              </w:rPr>
            </w:pPr>
            <w:r>
              <w:rPr>
                <w:rFonts w:ascii="Arial" w:cs="Arial" w:eastAsia="Arial" w:hAnsi="Arial"/>
                <w:sz w:val="14"/>
                <w:szCs w:val="14"/>
                <w:color w:val="auto"/>
                <w:w w:val="99"/>
              </w:rPr>
              <w:t>Full Exercise</w:t>
            </w:r>
          </w:p>
        </w:tc>
      </w:tr>
      <w:tr>
        <w:trPr>
          <w:trHeight w:val="210"/>
        </w:trPr>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2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3560" w:type="dxa"/>
            <w:vAlign w:val="bottom"/>
            <w:gridSpan w:val="2"/>
          </w:tcPr>
          <w:p>
            <w:pPr>
              <w:ind w:left="28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representatives have advised us that the underwriters propose to offer the ordinary shares directly to the public at the public offering price on the cover</w:t>
      </w:r>
    </w:p>
    <w:p>
      <w:pPr>
        <w:spacing w:after="0" w:line="50"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of this prospectus and to selected dealers, which may include the underwriters, at such offering price less a selling concession not in excess of $</w:t>
      </w:r>
      <w:r>
        <w:rPr>
          <w:sz w:val="20"/>
          <w:szCs w:val="20"/>
          <w:color w:val="auto"/>
        </w:rPr>
        <w:tab/>
      </w:r>
      <w:r>
        <w:rPr>
          <w:rFonts w:ascii="Arial" w:cs="Arial" w:eastAsia="Arial" w:hAnsi="Arial"/>
          <w:sz w:val="15"/>
          <w:szCs w:val="15"/>
          <w:color w:val="auto"/>
        </w:rPr>
        <w:t>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the offering, the representatives may change the offering price and other selling terms.</w:t>
      </w:r>
    </w:p>
    <w:p>
      <w:pPr>
        <w:spacing w:after="0" w:line="8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expenses of the offering that are payable by us are estimated to be $2.4 million (excluding underwriting discounts and commissions). We have also agreed to reimburse the underwriters for certain of their expenses, in an amount of up to $30,000, incurred in connection with review by FINRA of the terms of this offering, as set forth in the underwriting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from time to time, in whole or in part, up to an aggregate of 502,500 shares at the public offering price less underwriting discounts and commissions. This option may be exercised to the extent the underwriters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sell more than 3,350,000 shares in connection with this offering.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all of our directors and executive officers and holders of substantially all of our outstanding shares and options to purchase ordinary shares have agreed that, for a period of 180 days after the date of this prospectus, we and they will not directly or indirectly, without the prior written consent of each of Barclays Capital Inc. and Jefferies LLC, (1) offer for sale, sell, pledge, or otherwise dispose (or enter into any transaction or device that is designed to, or could be expected to, result in the disposition by any person at any time in the future of) of any ordinary shares (including, without limitation, ordinary shares that may be deemed to be beneficially owned by the us or them in accordance with the rules and regulations of the SEC and ordinary shares that may be issued upon exercise of any options or warrants) or securities convertible into or exercisable or exchangeable for ordinary shares (other than the ordinary shares being sold in this offering and shares issued pursuant to employee benefit plans, qualified share option plans, or other employee compensation plans existing on the date of this prospectus), or sell or grant options, rights or warrants with respect to any ordinary shares or securities convertible into or exchangeable for ordinary shares,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exercisable or exchangeable into ordinary shares or any of our other securities, or (4) publicly disclose the intention to do any of the foregoing.</w:t>
      </w:r>
    </w:p>
    <w:p>
      <w:pPr>
        <w:spacing w:after="0" w:line="4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Barclays Capital Inc. and Jefferies LLC,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Jefferies LLC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 officer or director of the Company, Barclays Capital Inc. and Jefferies LLC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 Determination</w:t>
      </w:r>
    </w:p>
    <w:p>
      <w:pPr>
        <w:spacing w:after="0" w:line="96" w:lineRule="exact"/>
        <w:rPr>
          <w:sz w:val="20"/>
          <w:szCs w:val="20"/>
          <w:color w:val="auto"/>
        </w:rPr>
      </w:pPr>
    </w:p>
    <w:p>
      <w:pPr>
        <w:ind w:right="106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will be negotiated between the representatives and us. In determining the initial public offering price of our ordinary shares, the representatives will consider:</w:t>
      </w:r>
    </w:p>
    <w:p>
      <w:pPr>
        <w:spacing w:after="0" w:line="4" w:lineRule="exact"/>
        <w:rPr>
          <w:sz w:val="20"/>
          <w:szCs w:val="20"/>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ability of our management and our business potential and earning prospects;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prevailing securities markets at the time of this offering;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4"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780" w:right="40" w:hanging="326"/>
        <w:spacing w:after="0" w:line="287" w:lineRule="auto"/>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purchasing shares in the open market, or both.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41"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6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prospectus in electronic format may be made available on Internet sites or through other online services maintained by one or more of the underwriters 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or endorsed by us or any underwriter or selling group member in its capacity as underwriter or selling group member and should not be relied upon by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ordinary shares listed on the Nasdaq Global Market under the symbol “RWLK.”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equity securities (or related derivative securities) and financial instruments (including bank loans) for their own account and for the accounts of their customers, and such investment and securities activities may involve securities or instruments of the issuer or its affiliates. The underwriters and certain of their affiliates may also communicate independent investment recommendations, market color or trading ideas or publish or express independent research views in respect of such securities or instruments and may at any time hold, or recommend to clients that they acquire, long or short positions in such securities and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ordinary shares or possession or distribution of this prospectus or any other offering or publicity material relating to the ordinary shares in any country or jurisdiction (other than the U.S.)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public in that Relevant Member State of any ordinary shares may be made at any time under the following exemptions under the Prospectus Directive, if they have been implemented in that Relevant Member State:</w:t>
      </w:r>
    </w:p>
    <w:p>
      <w:pPr>
        <w:spacing w:after="0" w:line="51"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under the Prospectus Directive;</w:t>
      </w:r>
    </w:p>
    <w:p>
      <w:pPr>
        <w:spacing w:after="0" w:line="90" w:lineRule="exact"/>
        <w:rPr>
          <w:rFonts w:ascii="Arial" w:cs="Arial" w:eastAsia="Arial" w:hAnsi="Arial"/>
          <w:sz w:val="18"/>
          <w:szCs w:val="18"/>
          <w:color w:val="auto"/>
        </w:rPr>
      </w:pPr>
    </w:p>
    <w:p>
      <w:pPr>
        <w:ind w:left="780" w:right="20" w:hanging="326"/>
        <w:spacing w:after="0" w:line="306"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provided that no such offer of ordinary shares result in a requirement for us or any underwriter to publish a prospectus pursuant to Article 3 of the Prospectus Directive or supplement a prospectus pursuant to Article 16 of the Prospectus Directive.</w:t>
      </w:r>
    </w:p>
    <w:p>
      <w:pPr>
        <w:spacing w:after="0" w:line="51"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and us that:</w:t>
      </w:r>
    </w:p>
    <w:p>
      <w:pPr>
        <w:spacing w:after="0" w:line="4" w:lineRule="exact"/>
        <w:rPr>
          <w:sz w:val="20"/>
          <w:szCs w:val="20"/>
          <w:color w:val="auto"/>
        </w:rPr>
      </w:pPr>
    </w:p>
    <w:p>
      <w:pPr>
        <w:ind w:left="780" w:hanging="32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is a qualified investor as defined under the Prospectus Directive; and</w:t>
      </w:r>
    </w:p>
    <w:p>
      <w:pPr>
        <w:spacing w:after="0" w:line="90" w:lineRule="exact"/>
        <w:rPr>
          <w:rFonts w:ascii="Arial" w:cs="Arial" w:eastAsia="Arial" w:hAnsi="Arial"/>
          <w:sz w:val="18"/>
          <w:szCs w:val="18"/>
          <w:color w:val="auto"/>
        </w:rPr>
      </w:pPr>
    </w:p>
    <w:p>
      <w:pPr>
        <w:ind w:left="780" w:hanging="326"/>
        <w:spacing w:after="0" w:line="291" w:lineRule="auto"/>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or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Canada</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ordinary shares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ordinary shares must be made in accordance with an exemption from the prospectus requirements and in compliance with the registration requirements of applicable securities laws.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40"/>
          </w:cols>
          <w:pgMar w:left="240" w:top="459"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document, as well as any other material relating to the shares which are the subject of the offering contemplated by this prospectus, do not constitute an issue prospectus pursuant to Article 652a and/or 1156 of the Swiss Code of Obligations. The shares will not be listed on the SIX Swiss Exchange and, therefore, the documents relating to the shares, including, but not limited to, this document, do not claim to comply with the disclosure standards of the listing rules of SIX Swiss Exchange and corresponding prospectus schemes annexed to the listing rules of the SIX Swiss Exchange. The shares are being offered in Switzerland by way of a private placement, i.e., to a small number of selected investors only, without any public offer and only to investors who do not purchase the shares with the intention to distribute them to the public. The investors will be individually approached by the issuer from time to time. This document, as well as any other material relating to the shares, is personal and confidential and does not constitute an offer to any other person. This document may only be used by those investors to whom it has been handed out in connection with the offering described herein and may neither directly nor indirectly be distributed or made available to other persons without express consent of the issuer. It may not be used in connection with any other offer and shall in particular not be copied and/or distributed to the public in (or from)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of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of the SFA except: (1) to an institutional investor under Section 274 of the SFA or to a relevant person, or any person pursuant to Section 275(1A) of the SFA, and in accordance with the conditions, specified in Section 275 of the SFA; (2) where no consideration is given for the transfer; or (3) by operation of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(the Financial Instruments and Exchange Law) and each underwriter has agreed that it will not offer or sell any shares,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96"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This document does not constitute a prospectus under the Israeli Securities Law, 5728-1968, and has not been filed with or approved by the Israel Securities Authority. In Israel, this prospectus is being distributed only to, and any offer of the ordinary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 RELATED TO THE OFFERING</w:t>
      </w:r>
    </w:p>
    <w:p>
      <w:pPr>
        <w:spacing w:after="0" w:line="1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us in connection with the offer and sale of ordinary shares in this offering. All amounts listed below are estimates except the SEC registration fee, Financial Industry Regulatory Authority, Inc., or FINRA, filing fee and the Nasdaq Global Market listing fee.</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Itemized expense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9,746</w:t>
            </w:r>
          </w:p>
        </w:tc>
        <w:tc>
          <w:tcPr>
            <w:tcW w:w="12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130,000</w:t>
            </w:r>
          </w:p>
        </w:tc>
        <w:tc>
          <w:tcPr>
            <w:tcW w:w="12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1,450,000</w:t>
            </w:r>
          </w:p>
        </w:tc>
        <w:tc>
          <w:tcPr>
            <w:tcW w:w="12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577,314</w:t>
            </w:r>
          </w:p>
        </w:tc>
        <w:tc>
          <w:tcPr>
            <w:tcW w:w="120" w:type="dxa"/>
            <w:vAlign w:val="bottom"/>
            <w:shd w:val="clear" w:color="auto" w:fill="CCEEFF"/>
          </w:tcPr>
          <w:p>
            <w:pPr>
              <w:spacing w:after="0"/>
              <w:rPr>
                <w:sz w:val="18"/>
                <w:szCs w:val="18"/>
                <w:color w:val="auto"/>
              </w:rPr>
            </w:pPr>
          </w:p>
        </w:tc>
      </w:tr>
      <w:tr>
        <w:trPr>
          <w:trHeight w:val="222"/>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2,400,000</w:t>
            </w:r>
          </w:p>
        </w:tc>
        <w:tc>
          <w:tcPr>
            <w:tcW w:w="120" w:type="dxa"/>
            <w:vAlign w:val="bottom"/>
          </w:tcPr>
          <w:p>
            <w:pPr>
              <w:spacing w:after="0"/>
              <w:rPr>
                <w:sz w:val="19"/>
                <w:szCs w:val="19"/>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validity of the ordinary shares being offered by this prospectus and other legal matters concerning this offering relating to Israeli law will be passed upon for us by Goldfarb Seligman &amp; Co., Tel Aviv, Israel. Certain legal matters in connection with this offering relating to U.S. federal and New York State law will be passed upon for us by White &amp; Case LLP, New York, New York. Certain legal matters in connection with this offering will be passed upon for the underwriters by Meitar Liquornik Geva Leshem Tal, Ramat Gan, Israel with respect to Israeli law, and by Skadden, Arps, Slate, Meagher &amp; Flom LLP, New York, New York with respect to U.S. law.</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consolidated financial statements as of December 31, 2012 and 2013 and for each of the two years in the period ended December 31, 2013 included in this Prospectus and Registration Statement have been audited by Kost, Forer, Gabbay and Kasierer, a member of Ernst &amp; Young Global Limited, independent registered public accounting firm, as set forth in their report thereon appearing elsewhere herein, and are included in reliance upon such report given on the authority of such firm as experts in auditing and accounting. The offices of Kost, Forer, Gabbay and Kasierer are located at 3 Aminadav St., Tel Aviv, 6706703 Israel.</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any Israeli experts named in this registration statement, most of whom reside outside of the United States, may be difficult to obtain within the United States. Furthermore, because a majority of our assets and most of our directors and officers are located outside of the United States, any judgment obtained in the United States against us or certain of our directors and officers may be difficult to collect within the United States.</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been informed by our legal counsel in Israel, Goldfarb Seligman &amp; Co., Tel Aviv, that it may be difficult to assert U.S. securities laws claims in original actions instituted in Israel. Israeli courts may refuse to hear a claim based on a violation of U.S. securities laws because Israel is not the most appropriate forum in which to bring such a claim. In addition, even if an Israeli court agrees to hear a claim, it may determine that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Israeli law and not U.S. law is applicable to the claim. If U.S. law is found to be applicable, the content of applicable U.S. law must be proven as a fact which can be a time-consuming and costly process. Matters of procedure will also be governed by Israeli law.</w:t>
      </w:r>
    </w:p>
    <w:p>
      <w:pPr>
        <w:spacing w:after="0" w:line="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irrevocably appointed our subsidiary, ReWalk Robotics, Inc., as our agent to receive service of process in any action against us in any United States federal or state court arising out of this offering or any purchase or sale of securities in connection with this offering. Subject to specified time limitations and legal procedures, Israeli courts may enforce a non-appealable foreign judgment in a civil matter, provided that, among other things:</w:t>
      </w:r>
    </w:p>
    <w:p>
      <w:pPr>
        <w:spacing w:after="0" w:line="26" w:lineRule="exact"/>
        <w:rPr>
          <w:sz w:val="20"/>
          <w:szCs w:val="20"/>
          <w:color w:val="auto"/>
        </w:rPr>
      </w:pPr>
    </w:p>
    <w:p>
      <w:pPr>
        <w:ind w:left="780" w:right="100" w:hanging="326"/>
        <w:spacing w:after="0" w:line="268"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foreign state in which the judgment is given and the rules of private international law currently prevailing in Israel;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judgment is not contrary to the public policy of Israel, and the enforcement of the civil liabilities set forth in the judgment is not likely to impair the security or sovereignty of Israel;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judgment was not obtained by fraud and does not conflict with any other valid judgment in the same matter between the same parties;</w:t>
      </w:r>
    </w:p>
    <w:p>
      <w:pPr>
        <w:spacing w:after="0" w:line="113"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the lawsuit was instituted in the foreign court;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judgment is enforceable according to the laws of Israel and according to the law of the foreign state in which the relief was granted.</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 foreign judgment is enforced by an Israeli court, it generally will be payable in Israeli currency, which can then be converted into non-Israeli currency and transferred out of Israel. Traditionally, in an action before an Israeli court to recover an amount in a non-Israeli currency, the Israeli court issues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a per annum statutory rate of interest set on a quarterly basis by Israeli regulations. Judgment creditors must bear the risk of unfavorable exchange rates. The trend in recent years has increasingly been for Israeli courts to enforce a foreign judgment in the foreign currency specified in the judgment, in which case there are also applicable rules regarding the payment of interest.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filed with the Securities and Exchange Commission a registration statement on Form F-1 under the Securities Act relating to this offering of our ordinary shares. This prospectus does not contain all of the information contained in the registration statement. The rules and regulations of the Securities and Exchange Commission allow us to omit certain information from this prospectus that is included in the registration statement. Statements made in this prospectus concerning the contents of any contract, agreement or other document are summaries of all material aspects of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6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may read and copy the registration statement, including the related exhibits and schedules, and any document we file with the Securities and Exchange Commission without charge at the Commission’s public reference room at 100 F Street, N.E., Room 1580, Washington, D.C. 20549. You may also obtain copies of the documents at prescribed rates by writing to the Public Reference Section of the Securities and Exchange Commission at 100 F Street, N.E., Room 1580, Washington, DC 20549. Please call the Securities and Exchange Commission at 1-800-SEC-0330 for further information on the public reference room. The Securities and Exchange Commission also maintains an Internet website that contains reports and other information regarding issuers that file electronically with the Commission. Our filings with the Securities and Exchange Commission are also available to the public through the Commission’s website at http://www.sec.gov.</w:t>
      </w:r>
    </w:p>
    <w:p>
      <w:pPr>
        <w:spacing w:after="0" w:line="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Securities and Exchange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provisions contained in Section 16 of the Exchange Act. In addition, we will not be required under the Exchange Act to file annual, quarterly and current reports and financial statements with the Securities and Exchange Commission as frequently or as promptly as United States companies whose securities are registered under the Exchange Act. However, we will file with the Securities and Exchange Commission, within four months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FINANCIAL STATEMENTS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5"/>
            <w:vMerge w:val="restart"/>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Report of Registered Public Accounting Firm</w:t>
              </w:r>
            </w:hyperlink>
          </w:p>
        </w:tc>
        <w:tc>
          <w:tcPr>
            <w:tcW w:w="1700" w:type="dxa"/>
            <w:vAlign w:val="bottom"/>
            <w:gridSpan w:val="2"/>
            <w:vMerge w:val="restart"/>
          </w:tcPr>
          <w:p>
            <w:pPr>
              <w:spacing w:after="0"/>
              <w:rPr>
                <w:sz w:val="14"/>
                <w:szCs w:val="14"/>
                <w:color w:val="auto"/>
              </w:rPr>
            </w:pPr>
          </w:p>
        </w:tc>
        <w:tc>
          <w:tcPr>
            <w:tcW w:w="61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220" w:type="dxa"/>
            <w:vAlign w:val="bottom"/>
            <w:tcBorders>
              <w:bottom w:val="single" w:sz="8" w:color="0000EE"/>
            </w:tcBorders>
            <w:gridSpan w:val="5"/>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6100" w:type="dxa"/>
            <w:vAlign w:val="bottom"/>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20" w:type="dxa"/>
            <w:vAlign w:val="bottom"/>
            <w:gridSpan w:val="7"/>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Consolidated Balance Sheets</w:t>
              </w:r>
            </w:hyperlink>
          </w:p>
        </w:tc>
        <w:tc>
          <w:tcPr>
            <w:tcW w:w="610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40">
              <w:r>
                <w:rPr>
                  <w:rFonts w:ascii="Arial" w:cs="Arial" w:eastAsia="Arial" w:hAnsi="Arial"/>
                  <w:sz w:val="18"/>
                  <w:szCs w:val="18"/>
                  <w:color w:val="0000EE"/>
                  <w:w w:val="87"/>
                </w:rPr>
                <w:t>Consolidated Statements of Operations</w:t>
              </w:r>
            </w:hyperlink>
          </w:p>
        </w:tc>
        <w:tc>
          <w:tcPr>
            <w:tcW w:w="2160" w:type="dxa"/>
            <w:vAlign w:val="bottom"/>
            <w:gridSpan w:val="5"/>
          </w:tcPr>
          <w:p>
            <w:pPr>
              <w:spacing w:after="0"/>
              <w:rPr>
                <w:sz w:val="17"/>
                <w:szCs w:val="17"/>
                <w:color w:val="auto"/>
              </w:rPr>
            </w:pPr>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Statements of Changes in Shareholders’ Equity (Deficiency)</w:t>
              </w:r>
            </w:hyperlink>
          </w:p>
        </w:tc>
        <w:tc>
          <w:tcPr>
            <w:tcW w:w="6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Consolidated Statements of Cash Flows</w:t>
              </w:r>
            </w:hyperlink>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Notes to Consolidated Financial Statements</w:t>
              </w:r>
            </w:hyperlink>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20" w:type="dxa"/>
            <w:vAlign w:val="bottom"/>
            <w:gridSpan w:val="3"/>
          </w:tcPr>
          <w:p>
            <w:pPr>
              <w:ind w:left="6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46125" cy="8661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6125" cy="86614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Kost Forer Gabbay &amp; Kasierer</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 Aminadav St.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Tel-Aviv 6706703, Israel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Tel: +972-3-6232525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Fax: +972-3-5622555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ey.com</w:t>
      </w:r>
    </w:p>
    <w:p>
      <w:pPr>
        <w:spacing w:after="0" w:line="200" w:lineRule="exact"/>
        <w:rPr>
          <w:sz w:val="20"/>
          <w:szCs w:val="20"/>
          <w:color w:val="auto"/>
        </w:rPr>
      </w:pPr>
    </w:p>
    <w:p>
      <w:pPr>
        <w:sectPr>
          <w:pgSz w:w="11900" w:h="16838" w:orient="portrait"/>
          <w:cols w:equalWidth="0" w:num="2">
            <w:col w:w="4660" w:space="720"/>
            <w:col w:w="5980"/>
          </w:cols>
          <w:pgMar w:left="240" w:top="459" w:right="29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center"/>
        <w:ind w:left="300" w:right="2260"/>
        <w:spacing w:after="0" w:line="356"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Shareholders of REWALK ROBOTICS LTD. (FORMERLY ARGO MEDICAL TECHNOLOGIES, LTD.)</w:t>
      </w:r>
    </w:p>
    <w:p>
      <w:pPr>
        <w:spacing w:after="0" w:line="5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ReWalk Robotics Ltd. (the “Company”) and its subsidiaries as of December 31, 2012 and 2013, and the related consolidated statements of operations, changes in shareholders’ equity (deficiency) and cash flows for the years then ended, and the related notes to the consolidated financial statement. These financial statements are the responsibility of Company’s board of directors and management. Our responsibility is to express an opinion on these financial statements based on our audits.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consolidated financial position of the Company and its subsidiaries as of December 31, 2012 and 2013, and the related consolidated results of its operations and its cash flows for the years then ended, in conformity with generally accepted accounting principles in the United States.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Since the date of completion of our audit of the accompanying consolidated financial statements and initial issuance of our report thereon dated May 16, 2014, which report contained an explanatory paragraph regarding the Company’s ability to continue as a going concern, the Company, as discussed in Note 1e, has completed an issuance of its convertible preferred shares resulting in proceeds of approximately $13,000,000. Therefore, the conditions that raised substantial doubt about whether the Company will continue as a going concern no longer exist.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20"/>
                <w:szCs w:val="20"/>
                <w:color w:val="auto"/>
              </w:rPr>
            </w:pPr>
            <w:r>
              <w:rPr>
                <w:rFonts w:ascii="Arial" w:cs="Arial" w:eastAsia="Arial" w:hAnsi="Arial"/>
                <w:sz w:val="18"/>
                <w:szCs w:val="18"/>
                <w:color w:val="auto"/>
              </w:rPr>
              <w:t>Tel-Aviv, Israel</w:t>
            </w:r>
          </w:p>
        </w:tc>
        <w:tc>
          <w:tcPr>
            <w:tcW w:w="1920" w:type="dxa"/>
            <w:vAlign w:val="bottom"/>
          </w:tcPr>
          <w:p>
            <w:pPr>
              <w:spacing w:after="0"/>
              <w:rPr>
                <w:sz w:val="18"/>
                <w:szCs w:val="18"/>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KOST FORER GABBAY &amp; KASIERER</w:t>
            </w:r>
          </w:p>
        </w:tc>
      </w:tr>
      <w:tr>
        <w:trPr>
          <w:trHeight w:val="228"/>
        </w:trPr>
        <w:tc>
          <w:tcPr>
            <w:tcW w:w="4140" w:type="dxa"/>
            <w:vAlign w:val="bottom"/>
          </w:tcPr>
          <w:p>
            <w:pPr>
              <w:spacing w:after="0"/>
              <w:rPr>
                <w:sz w:val="20"/>
                <w:szCs w:val="20"/>
                <w:color w:val="auto"/>
              </w:rPr>
            </w:pPr>
            <w:r>
              <w:rPr>
                <w:rFonts w:ascii="Arial" w:cs="Arial" w:eastAsia="Arial" w:hAnsi="Arial"/>
                <w:sz w:val="18"/>
                <w:szCs w:val="18"/>
                <w:color w:val="auto"/>
              </w:rPr>
              <w:t>May 16, 2014</w:t>
            </w:r>
          </w:p>
        </w:tc>
        <w:tc>
          <w:tcPr>
            <w:tcW w:w="19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KOST FORER GABBAY &amp; KASIERER</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Except for Note 1e, Note 2u, Note 7c,</w:t>
            </w:r>
          </w:p>
        </w:tc>
        <w:tc>
          <w:tcPr>
            <w:tcW w:w="19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 Member of Ernst &amp; Young Global</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Note 9 and Note 14 to which</w:t>
            </w:r>
          </w:p>
        </w:tc>
        <w:tc>
          <w:tcPr>
            <w:tcW w:w="192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the date is August 26, 2014</w:t>
            </w:r>
          </w:p>
        </w:tc>
        <w:tc>
          <w:tcPr>
            <w:tcW w:w="19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78"/>
        </w:trPr>
        <w:tc>
          <w:tcPr>
            <w:tcW w:w="4140" w:type="dxa"/>
            <w:vAlign w:val="bottom"/>
          </w:tcPr>
          <w:p>
            <w:pPr>
              <w:spacing w:after="0"/>
              <w:rPr>
                <w:sz w:val="24"/>
                <w:szCs w:val="24"/>
                <w:color w:val="auto"/>
              </w:rPr>
            </w:pPr>
          </w:p>
        </w:tc>
        <w:tc>
          <w:tcPr>
            <w:tcW w:w="5040" w:type="dxa"/>
            <w:vAlign w:val="bottom"/>
            <w:gridSpan w:val="2"/>
          </w:tcPr>
          <w:p>
            <w:pPr>
              <w:ind w:left="146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360"/>
          </w:cols>
          <w:pgMar w:left="240" w:top="459" w:right="29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REWALK ROBOTICS LTD. (FORMERLY ARGO MEDICAL TECHNOLOGIES LTD.)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Unaudited</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8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Trade receivable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Inventories</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1,743</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10,606</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58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Lease deposits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issuance costs</w:t>
            </w:r>
          </w:p>
        </w:tc>
        <w:tc>
          <w:tcPr>
            <w:tcW w:w="8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8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2,094</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11,059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REWALK ROBOTICS LTD. (FORMERLY ARGO MEDICAL TECHNOLOGIES LTD.)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and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equity at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2014</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472"/>
              <w:spacing w:after="0" w:line="142" w:lineRule="exact"/>
              <w:rPr>
                <w:sz w:val="20"/>
                <w:szCs w:val="20"/>
                <w:color w:val="auto"/>
              </w:rPr>
            </w:pPr>
            <w:r>
              <w:rPr>
                <w:rFonts w:ascii="Arial" w:cs="Arial" w:eastAsia="Arial" w:hAnsi="Arial"/>
                <w:sz w:val="14"/>
                <w:szCs w:val="14"/>
                <w:b w:val="1"/>
                <w:bCs w:val="1"/>
                <w:color w:val="auto"/>
                <w:w w:val="84"/>
              </w:rPr>
              <w:t>Unaudited</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80" w:type="dxa"/>
            <w:vAlign w:val="bottom"/>
            <w:shd w:val="clear" w:color="auto" w:fill="CCEEFF"/>
          </w:tcPr>
          <w:p>
            <w:pPr>
              <w:ind w:left="640"/>
              <w:spacing w:after="0" w:line="142" w:lineRule="exact"/>
              <w:rPr>
                <w:sz w:val="20"/>
                <w:szCs w:val="20"/>
                <w:color w:val="auto"/>
              </w:rPr>
            </w:pPr>
            <w:r>
              <w:rPr>
                <w:rFonts w:ascii="Arial" w:cs="Arial" w:eastAsia="Arial" w:hAnsi="Arial"/>
                <w:sz w:val="14"/>
                <w:szCs w:val="14"/>
                <w:color w:val="auto"/>
              </w:rPr>
              <w:t>LIABILITIES AND SHAREHOLDERS’ EQUITY (DEFICIENCY)</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CURRENT LIABILITIES: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Convertible loans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Trade payables</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854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 and payroll accruals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Deferred revenues and customers advances</w:t>
            </w:r>
          </w:p>
        </w:tc>
        <w:tc>
          <w:tcPr>
            <w:tcW w:w="6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32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6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2,106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2,699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Warrants to purchase convertible preferred shares</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3,341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4,968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revenues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Accrued severance pay</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long-term liabilities</w:t>
            </w: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5,149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320" w:type="dxa"/>
            <w:vAlign w:val="bottom"/>
            <w:gridSpan w:val="3"/>
          </w:tcPr>
          <w:p>
            <w:pPr>
              <w:spacing w:after="0"/>
              <w:rPr>
                <w:sz w:val="20"/>
                <w:szCs w:val="20"/>
                <w:color w:val="auto"/>
              </w:rPr>
            </w:pPr>
            <w:r>
              <w:rPr>
                <w:rFonts w:ascii="Arial" w:cs="Arial" w:eastAsia="Arial" w:hAnsi="Arial"/>
                <w:sz w:val="14"/>
                <w:szCs w:val="14"/>
                <w:color w:val="auto"/>
              </w:rPr>
              <w:t>Total liabilities</w:t>
            </w:r>
          </w:p>
        </w:tc>
        <w:tc>
          <w:tcPr>
            <w:tcW w:w="6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4,358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5,428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7,848</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CONTINGENT LIABILITIES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80" w:type="dxa"/>
            <w:vAlign w:val="bottom"/>
          </w:tcPr>
          <w:p>
            <w:pPr>
              <w:ind w:left="200"/>
              <w:spacing w:after="0" w:line="149" w:lineRule="exact"/>
              <w:rPr>
                <w:sz w:val="20"/>
                <w:szCs w:val="20"/>
                <w:color w:val="auto"/>
              </w:rPr>
            </w:pPr>
            <w:r>
              <w:rPr>
                <w:rFonts w:ascii="Arial" w:cs="Arial" w:eastAsia="Arial" w:hAnsi="Arial"/>
                <w:sz w:val="14"/>
                <w:szCs w:val="14"/>
                <w:color w:val="auto"/>
              </w:rPr>
              <w:t>Shareholders’ equity (deficiency):</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Convertible preferred share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80" w:type="dxa"/>
            <w:vAlign w:val="bottom"/>
          </w:tcPr>
          <w:p>
            <w:pPr>
              <w:ind w:left="640"/>
              <w:spacing w:after="0" w:line="138" w:lineRule="exact"/>
              <w:rPr>
                <w:sz w:val="20"/>
                <w:szCs w:val="20"/>
                <w:color w:val="auto"/>
              </w:rPr>
            </w:pPr>
            <w:r>
              <w:rPr>
                <w:rFonts w:ascii="Arial" w:cs="Arial" w:eastAsia="Arial" w:hAnsi="Arial"/>
                <w:sz w:val="14"/>
                <w:szCs w:val="14"/>
                <w:color w:val="auto"/>
                <w:w w:val="90"/>
              </w:rPr>
              <w:t>Preferred A, B, C and D share of NIS 0.01 par value-Authorized: 351,000, 532,677 and 532,677 shares at December 31, 2012, 2013</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80" w:type="dxa"/>
            <w:vAlign w:val="bottom"/>
          </w:tcPr>
          <w:p>
            <w:pPr>
              <w:ind w:left="840"/>
              <w:spacing w:after="0" w:line="149" w:lineRule="exact"/>
              <w:rPr>
                <w:sz w:val="20"/>
                <w:szCs w:val="20"/>
                <w:color w:val="auto"/>
              </w:rPr>
            </w:pPr>
            <w:r>
              <w:rPr>
                <w:rFonts w:ascii="Arial" w:cs="Arial" w:eastAsia="Arial" w:hAnsi="Arial"/>
                <w:sz w:val="14"/>
                <w:szCs w:val="14"/>
                <w:color w:val="auto"/>
                <w:w w:val="88"/>
              </w:rPr>
              <w:t>and June 30, 2014 (unaudited), respectively; Issued and outstanding: 161,718, 327,403 and 331,534 shares at December 31, 2012,</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80" w:type="dxa"/>
            <w:vAlign w:val="bottom"/>
          </w:tcPr>
          <w:p>
            <w:pPr>
              <w:ind w:left="840"/>
              <w:spacing w:after="0" w:line="149" w:lineRule="exact"/>
              <w:rPr>
                <w:sz w:val="20"/>
                <w:szCs w:val="20"/>
                <w:color w:val="auto"/>
              </w:rPr>
            </w:pPr>
            <w:r>
              <w:rPr>
                <w:rFonts w:ascii="Arial" w:cs="Arial" w:eastAsia="Arial" w:hAnsi="Arial"/>
                <w:sz w:val="14"/>
                <w:szCs w:val="14"/>
                <w:color w:val="auto"/>
                <w:w w:val="97"/>
              </w:rPr>
              <w:t>2013 and June 30, 2014 (unaudited), respectively; Aggregate liquidation preference of $16,050, $35,852 and $37,247 at</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80" w:type="dxa"/>
            <w:vAlign w:val="bottom"/>
          </w:tcPr>
          <w:p>
            <w:pPr>
              <w:ind w:left="840"/>
              <w:spacing w:after="0" w:line="159" w:lineRule="exact"/>
              <w:rPr>
                <w:sz w:val="20"/>
                <w:szCs w:val="20"/>
                <w:color w:val="auto"/>
              </w:rPr>
            </w:pPr>
            <w:r>
              <w:rPr>
                <w:rFonts w:ascii="Arial" w:cs="Arial" w:eastAsia="Arial" w:hAnsi="Arial"/>
                <w:sz w:val="14"/>
                <w:szCs w:val="14"/>
                <w:color w:val="auto"/>
                <w:w w:val="90"/>
              </w:rPr>
              <w:t>December 31, 2012, 2013 and June 30, 2014 (unaudited), respectively; pro forma (unaudited): no shares, issued and outstanding</w:t>
            </w:r>
          </w:p>
        </w:tc>
        <w:tc>
          <w:tcPr>
            <w:tcW w:w="60" w:type="dxa"/>
            <w:vAlign w:val="bottom"/>
          </w:tcPr>
          <w:p>
            <w:pPr>
              <w:spacing w:after="0"/>
              <w:rPr>
                <w:sz w:val="13"/>
                <w:szCs w:val="13"/>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Share capital</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80" w:type="dxa"/>
            <w:vAlign w:val="bottom"/>
          </w:tcPr>
          <w:p>
            <w:pPr>
              <w:ind w:left="640"/>
              <w:spacing w:after="0" w:line="138" w:lineRule="exact"/>
              <w:rPr>
                <w:sz w:val="20"/>
                <w:szCs w:val="20"/>
                <w:color w:val="auto"/>
              </w:rPr>
            </w:pPr>
            <w:r>
              <w:rPr>
                <w:rFonts w:ascii="Arial" w:cs="Arial" w:eastAsia="Arial" w:hAnsi="Arial"/>
                <w:sz w:val="14"/>
                <w:szCs w:val="14"/>
                <w:color w:val="auto"/>
                <w:w w:val="88"/>
              </w:rPr>
              <w:t>Ordinary share of NIS 0.01 par value-Authorized: 173,682,000, 170,413,056 and 170,413,056 shares at December 31, 2012, 2013 and</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80" w:type="dxa"/>
            <w:vAlign w:val="bottom"/>
          </w:tcPr>
          <w:p>
            <w:pPr>
              <w:ind w:left="840"/>
              <w:spacing w:after="0" w:line="149" w:lineRule="exact"/>
              <w:rPr>
                <w:sz w:val="20"/>
                <w:szCs w:val="20"/>
                <w:color w:val="auto"/>
              </w:rPr>
            </w:pPr>
            <w:r>
              <w:rPr>
                <w:rFonts w:ascii="Arial" w:cs="Arial" w:eastAsia="Arial" w:hAnsi="Arial"/>
                <w:sz w:val="14"/>
                <w:szCs w:val="14"/>
                <w:color w:val="auto"/>
                <w:w w:val="87"/>
              </w:rPr>
              <w:t>June 30, 2014 (unaudited), respectively; Issued and outstanding: 185,688, 185,688 and 187,776 shares at December 31, 2012, 2013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80" w:type="dxa"/>
            <w:vAlign w:val="bottom"/>
          </w:tcPr>
          <w:p>
            <w:pPr>
              <w:ind w:left="840"/>
              <w:spacing w:after="0" w:line="159" w:lineRule="exact"/>
              <w:rPr>
                <w:sz w:val="20"/>
                <w:szCs w:val="20"/>
                <w:color w:val="auto"/>
              </w:rPr>
            </w:pPr>
            <w:r>
              <w:rPr>
                <w:rFonts w:ascii="Arial" w:cs="Arial" w:eastAsia="Arial" w:hAnsi="Arial"/>
                <w:sz w:val="14"/>
                <w:szCs w:val="14"/>
                <w:color w:val="auto"/>
              </w:rPr>
              <w:t>and June 30, 2014 (unaudited); pro forma (unaudited): 6,680,322 shares issued and outstanding</w:t>
            </w:r>
          </w:p>
        </w:tc>
        <w:tc>
          <w:tcPr>
            <w:tcW w:w="60" w:type="dxa"/>
            <w:vAlign w:val="bottom"/>
          </w:tcPr>
          <w:p>
            <w:pPr>
              <w:spacing w:after="0"/>
              <w:rPr>
                <w:sz w:val="13"/>
                <w:szCs w:val="13"/>
                <w:color w:val="auto"/>
              </w:rPr>
            </w:pP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12,465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32,537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34,035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Accumulated deficit</w:t>
            </w: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4"/>
              </w:rPr>
              <w:t>(14,729)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4"/>
              </w:rPr>
              <w:t>(26,906)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4"/>
              </w:rPr>
              <w:t>(36,647)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(41,538)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shareholders’ equity (deficiency)</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(2,264)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(2,612)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2,778</w:t>
            </w:r>
          </w:p>
        </w:tc>
        <w:tc>
          <w:tcPr>
            <w:tcW w:w="0" w:type="dxa"/>
            <w:vAlign w:val="bottom"/>
          </w:tcPr>
          <w:p>
            <w:pPr>
              <w:spacing w:after="0"/>
              <w:rPr>
                <w:sz w:val="1"/>
                <w:szCs w:val="1"/>
                <w:color w:val="auto"/>
              </w:rPr>
            </w:pPr>
          </w:p>
        </w:tc>
      </w:tr>
      <w:tr>
        <w:trPr>
          <w:trHeight w:val="20"/>
        </w:trPr>
        <w:tc>
          <w:tcPr>
            <w:tcW w:w="8320" w:type="dxa"/>
            <w:vAlign w:val="bottom"/>
            <w:gridSpan w:val="3"/>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20" w:type="dxa"/>
            <w:vAlign w:val="bottom"/>
            <w:gridSpan w:val="3"/>
          </w:tcPr>
          <w:p>
            <w:pPr>
              <w:spacing w:after="0"/>
              <w:rPr>
                <w:sz w:val="20"/>
                <w:szCs w:val="20"/>
                <w:color w:val="auto"/>
              </w:rPr>
            </w:pPr>
            <w:r>
              <w:rPr>
                <w:rFonts w:ascii="Arial" w:cs="Arial" w:eastAsia="Arial" w:hAnsi="Arial"/>
                <w:sz w:val="14"/>
                <w:szCs w:val="14"/>
                <w:color w:val="auto"/>
              </w:rPr>
              <w:t>Total liabilities and shareholders’ equity (deficiency)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2,094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11,059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5,236</w:t>
            </w:r>
          </w:p>
        </w:tc>
        <w:tc>
          <w:tcPr>
            <w:tcW w:w="4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5,658</w:t>
            </w: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8080" w:type="dxa"/>
            <w:vAlign w:val="bottom"/>
            <w:vMerge w:val="restart"/>
          </w:tcPr>
          <w:p>
            <w:pPr>
              <w:ind w:left="100"/>
              <w:spacing w:after="0"/>
              <w:rPr>
                <w:sz w:val="20"/>
                <w:szCs w:val="20"/>
                <w:color w:val="auto"/>
              </w:rPr>
            </w:pPr>
            <w:r>
              <w:rPr>
                <w:rFonts w:ascii="Arial" w:cs="Arial" w:eastAsia="Arial" w:hAnsi="Arial"/>
                <w:sz w:val="14"/>
                <w:szCs w:val="14"/>
                <w:color w:val="auto"/>
              </w:rPr>
              <w:t>Represents an amount lower than $1</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0" w:type="dxa"/>
            <w:vAlign w:val="bottom"/>
            <w:gridSpan w:val="2"/>
            <w:vMerge w:val="continue"/>
          </w:tcPr>
          <w:p>
            <w:pPr>
              <w:spacing w:after="0"/>
              <w:rPr>
                <w:sz w:val="24"/>
                <w:szCs w:val="24"/>
                <w:color w:val="auto"/>
              </w:rPr>
            </w:pPr>
          </w:p>
        </w:tc>
        <w:tc>
          <w:tcPr>
            <w:tcW w:w="8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REWALK ROBOTICS LTD. (FORMERLY ARGO MEDICAL TECHNOLOGIES LTD.)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Unaudited</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329"/>
        </w:trPr>
        <w:tc>
          <w:tcPr>
            <w:tcW w:w="6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Sales and marketing,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3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8,316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3,507</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Financial expenses,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3,410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1,656</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340" w:type="dxa"/>
            <w:vAlign w:val="bottom"/>
            <w:gridSpan w:val="2"/>
          </w:tcPr>
          <w:p>
            <w:pPr>
              <w:spacing w:after="0"/>
              <w:rPr>
                <w:sz w:val="20"/>
                <w:szCs w:val="20"/>
                <w:color w:val="auto"/>
              </w:rPr>
            </w:pPr>
            <w:r>
              <w:rPr>
                <w:rFonts w:ascii="Arial" w:cs="Arial" w:eastAsia="Arial" w:hAnsi="Arial"/>
                <w:sz w:val="18"/>
                <w:szCs w:val="18"/>
                <w:color w:val="auto"/>
              </w:rPr>
              <w:t>Net loss per ordinary share, basic and 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(41.26)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(74.53)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(32.72)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shares used in computing net loss per ordinary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185,688</w:t>
            </w:r>
          </w:p>
        </w:tc>
        <w:tc>
          <w:tcPr>
            <w:tcW w:w="6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185,688</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185,688</w:t>
            </w: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340" w:type="dxa"/>
            <w:vAlign w:val="bottom"/>
            <w:gridSpan w:val="2"/>
          </w:tcPr>
          <w:p>
            <w:pPr>
              <w:spacing w:after="0"/>
              <w:rPr>
                <w:sz w:val="20"/>
                <w:szCs w:val="20"/>
                <w:color w:val="auto"/>
              </w:rPr>
            </w:pPr>
            <w:r>
              <w:rPr>
                <w:rFonts w:ascii="Arial" w:cs="Arial" w:eastAsia="Arial" w:hAnsi="Arial"/>
                <w:sz w:val="18"/>
                <w:szCs w:val="18"/>
                <w:color w:val="auto"/>
              </w:rPr>
              <w:t>Pro forma net loss per ordinary share, basic and diluted (unaudited)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1"/>
              </w:rPr>
              <w:t>Pro forma weighted average number of shares used in computing net loss per ordinary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basic and diluted (unaudited)</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6,304,194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8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STATEMENTS OF CHANGES IN SHAREHOLDERS’ EQUITY (DEFICIENCY) 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9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shareholders’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2"/>
              </w:rPr>
              <w:t>Preferred Shares</w:t>
            </w:r>
          </w:p>
        </w:tc>
        <w:tc>
          <w:tcPr>
            <w:tcW w:w="240" w:type="dxa"/>
            <w:vAlign w:val="bottom"/>
          </w:tcPr>
          <w:p>
            <w:pPr>
              <w:spacing w:after="0"/>
              <w:rPr>
                <w:sz w:val="5"/>
                <w:szCs w:val="5"/>
                <w:color w:val="auto"/>
              </w:rPr>
            </w:pPr>
          </w:p>
        </w:tc>
        <w:tc>
          <w:tcPr>
            <w:tcW w:w="11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8"/>
              </w:rPr>
              <w:t>Ordinary Share</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auto"/>
            </w:tcBorders>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paid-in</w:t>
            </w:r>
          </w:p>
        </w:tc>
        <w:tc>
          <w:tcPr>
            <w:tcW w:w="9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8"/>
                <w:szCs w:val="8"/>
                <w:color w:val="auto"/>
              </w:rPr>
            </w:pPr>
          </w:p>
        </w:tc>
        <w:tc>
          <w:tcPr>
            <w:tcW w:w="7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Number</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capital</w:t>
            </w: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(deficiency)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Balance as of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103,872</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8"/>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185,688</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8"/>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7,242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(8,071)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tcPr>
          <w:p>
            <w:pPr>
              <w:spacing w:after="0" w:line="149" w:lineRule="exact"/>
              <w:rPr>
                <w:sz w:val="20"/>
                <w:szCs w:val="20"/>
                <w:color w:val="auto"/>
              </w:rPr>
            </w:pPr>
            <w:r>
              <w:rPr>
                <w:rFonts w:ascii="Arial" w:cs="Arial" w:eastAsia="Arial" w:hAnsi="Arial"/>
                <w:sz w:val="14"/>
                <w:szCs w:val="14"/>
                <w:color w:val="auto"/>
              </w:rPr>
              <w:t>Conversion of convertible loans into Series C convertible preferred share</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9,612</w:t>
            </w:r>
          </w:p>
        </w:tc>
        <w:tc>
          <w:tcPr>
            <w:tcW w:w="480" w:type="dxa"/>
            <w:vAlign w:val="bottom"/>
          </w:tcPr>
          <w:p>
            <w:pPr>
              <w:spacing w:after="0"/>
              <w:rPr>
                <w:sz w:val="12"/>
                <w:szCs w:val="12"/>
                <w:color w:val="auto"/>
              </w:rPr>
            </w:pP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8"/>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Issuance of Series C convertible preferred share, net of issuance expense in an amount of $3</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48,234</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8"/>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tcPr>
          <w:p>
            <w:pPr>
              <w:spacing w:after="0" w:line="149" w:lineRule="exact"/>
              <w:rPr>
                <w:sz w:val="20"/>
                <w:szCs w:val="20"/>
                <w:color w:val="auto"/>
              </w:rPr>
            </w:pPr>
            <w:r>
              <w:rPr>
                <w:rFonts w:ascii="Arial" w:cs="Arial" w:eastAsia="Arial" w:hAnsi="Arial"/>
                <w:sz w:val="14"/>
                <w:szCs w:val="14"/>
                <w:color w:val="auto"/>
              </w:rPr>
              <w:t>Share-based compensation to employees and non employees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113</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Net loss</w:t>
            </w:r>
          </w:p>
        </w:tc>
        <w:tc>
          <w:tcPr>
            <w:tcW w:w="700" w:type="dxa"/>
            <w:vAlign w:val="bottom"/>
            <w:shd w:val="clear" w:color="auto" w:fill="CCEEFF"/>
          </w:tcPr>
          <w:p>
            <w:pPr>
              <w:spacing w:after="0"/>
              <w:rPr>
                <w:sz w:val="12"/>
                <w:szCs w:val="12"/>
                <w:color w:val="auto"/>
              </w:rPr>
            </w:pPr>
          </w:p>
        </w:tc>
        <w:tc>
          <w:tcPr>
            <w:tcW w:w="492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(6,658)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20"/>
        </w:trPr>
        <w:tc>
          <w:tcPr>
            <w:tcW w:w="6080" w:type="dxa"/>
            <w:vAlign w:val="bottom"/>
            <w:gridSpan w:val="4"/>
            <w:vMerge w:val="restart"/>
          </w:tcPr>
          <w:p>
            <w:pPr>
              <w:spacing w:after="0"/>
              <w:rPr>
                <w:sz w:val="20"/>
                <w:szCs w:val="20"/>
                <w:color w:val="auto"/>
              </w:rPr>
            </w:pPr>
            <w:r>
              <w:rPr>
                <w:rFonts w:ascii="Arial" w:cs="Arial" w:eastAsia="Arial" w:hAnsi="Arial"/>
                <w:sz w:val="14"/>
                <w:szCs w:val="14"/>
                <w:color w:val="auto"/>
              </w:rPr>
              <w:t>Balance as of December 31, 2012</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8"/>
              </w:rPr>
              <w:t>*)</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80" w:type="dxa"/>
            <w:vAlign w:val="bottom"/>
            <w:gridSpan w:val="4"/>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161,718</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jc w:val="right"/>
              <w:ind w:right="52"/>
              <w:spacing w:after="0" w:line="155" w:lineRule="exact"/>
              <w:rPr>
                <w:sz w:val="20"/>
                <w:szCs w:val="20"/>
                <w:color w:val="auto"/>
              </w:rPr>
            </w:pPr>
            <w:r>
              <w:rPr>
                <w:rFonts w:ascii="Arial" w:cs="Arial" w:eastAsia="Arial" w:hAnsi="Arial"/>
                <w:sz w:val="14"/>
                <w:szCs w:val="14"/>
                <w:color w:val="auto"/>
                <w:w w:val="98"/>
              </w:rPr>
              <w:t>*)</w:t>
            </w: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0"/>
              </w:rPr>
              <w:t>185,688</w:t>
            </w:r>
          </w:p>
        </w:tc>
        <w:tc>
          <w:tcPr>
            <w:tcW w:w="4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12,465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(14,729)</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loans into Series D convertible preferred share</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81,677</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8"/>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tcPr>
          <w:p>
            <w:pPr>
              <w:spacing w:after="0" w:line="149" w:lineRule="exact"/>
              <w:rPr>
                <w:sz w:val="20"/>
                <w:szCs w:val="20"/>
                <w:color w:val="auto"/>
              </w:rPr>
            </w:pPr>
            <w:r>
              <w:rPr>
                <w:rFonts w:ascii="Arial" w:cs="Arial" w:eastAsia="Arial" w:hAnsi="Arial"/>
                <w:sz w:val="14"/>
                <w:szCs w:val="14"/>
                <w:color w:val="auto"/>
              </w:rPr>
              <w:t>Issuance of Series D convertible preferred share, net of issuance expense in an amount of $204</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84,008</w:t>
            </w:r>
          </w:p>
        </w:tc>
        <w:tc>
          <w:tcPr>
            <w:tcW w:w="480" w:type="dxa"/>
            <w:vAlign w:val="bottom"/>
          </w:tcPr>
          <w:p>
            <w:pPr>
              <w:spacing w:after="0"/>
              <w:rPr>
                <w:sz w:val="12"/>
                <w:szCs w:val="12"/>
                <w:color w:val="auto"/>
              </w:rPr>
            </w:pP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8"/>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9,961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to employees and non employees</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Arial" w:cs="Arial" w:eastAsia="Arial" w:hAnsi="Arial"/>
                <w:sz w:val="14"/>
                <w:szCs w:val="14"/>
                <w:color w:val="auto"/>
                <w:w w:val="82"/>
              </w:rPr>
              <w:t>Net loss</w:t>
            </w:r>
          </w:p>
        </w:tc>
        <w:tc>
          <w:tcPr>
            <w:tcW w:w="7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(12,177)</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327,403</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8"/>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185,688</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8"/>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(26,906)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tcPr>
          <w:p>
            <w:pPr>
              <w:spacing w:after="0" w:line="149" w:lineRule="exact"/>
              <w:rPr>
                <w:sz w:val="20"/>
                <w:szCs w:val="20"/>
                <w:color w:val="auto"/>
              </w:rPr>
            </w:pPr>
            <w:r>
              <w:rPr>
                <w:rFonts w:ascii="Arial" w:cs="Arial" w:eastAsia="Arial" w:hAnsi="Arial"/>
                <w:sz w:val="14"/>
                <w:szCs w:val="14"/>
                <w:color w:val="auto"/>
              </w:rPr>
              <w:t>Issuance of Series D convertible preferred shares</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4,131</w:t>
            </w:r>
          </w:p>
        </w:tc>
        <w:tc>
          <w:tcPr>
            <w:tcW w:w="480" w:type="dxa"/>
            <w:vAlign w:val="bottom"/>
          </w:tcPr>
          <w:p>
            <w:pPr>
              <w:spacing w:after="0"/>
              <w:rPr>
                <w:sz w:val="12"/>
                <w:szCs w:val="12"/>
                <w:color w:val="auto"/>
              </w:rPr>
            </w:pPr>
          </w:p>
        </w:tc>
        <w:tc>
          <w:tcPr>
            <w:tcW w:w="24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8"/>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1,114</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to employees and non employees</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tcPr>
          <w:p>
            <w:pPr>
              <w:spacing w:after="0" w:line="149" w:lineRule="exact"/>
              <w:rPr>
                <w:sz w:val="20"/>
                <w:szCs w:val="20"/>
                <w:color w:val="auto"/>
              </w:rPr>
            </w:pPr>
            <w:r>
              <w:rPr>
                <w:rFonts w:ascii="Arial" w:cs="Arial" w:eastAsia="Arial" w:hAnsi="Arial"/>
                <w:sz w:val="14"/>
                <w:szCs w:val="14"/>
                <w:color w:val="auto"/>
              </w:rPr>
              <w:t>Issuance of ordinary share upon exercise of stock options by employees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2,088</w:t>
            </w:r>
          </w:p>
        </w:tc>
        <w:tc>
          <w:tcPr>
            <w:tcW w:w="4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8"/>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Net loss</w:t>
            </w:r>
          </w:p>
        </w:tc>
        <w:tc>
          <w:tcPr>
            <w:tcW w:w="700" w:type="dxa"/>
            <w:vAlign w:val="bottom"/>
            <w:shd w:val="clear" w:color="auto" w:fill="CCEEFF"/>
          </w:tcPr>
          <w:p>
            <w:pPr>
              <w:spacing w:after="0"/>
              <w:rPr>
                <w:sz w:val="12"/>
                <w:szCs w:val="12"/>
                <w:color w:val="auto"/>
              </w:rPr>
            </w:pPr>
          </w:p>
        </w:tc>
        <w:tc>
          <w:tcPr>
            <w:tcW w:w="492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(9,741)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20"/>
        </w:trPr>
        <w:tc>
          <w:tcPr>
            <w:tcW w:w="6080" w:type="dxa"/>
            <w:vAlign w:val="bottom"/>
            <w:gridSpan w:val="4"/>
            <w:vMerge w:val="restart"/>
          </w:tcPr>
          <w:p>
            <w:pPr>
              <w:spacing w:after="0"/>
              <w:rPr>
                <w:sz w:val="20"/>
                <w:szCs w:val="20"/>
                <w:color w:val="auto"/>
              </w:rPr>
            </w:pPr>
            <w:r>
              <w:rPr>
                <w:rFonts w:ascii="Arial" w:cs="Arial" w:eastAsia="Arial" w:hAnsi="Arial"/>
                <w:sz w:val="14"/>
                <w:szCs w:val="14"/>
                <w:color w:val="auto"/>
              </w:rPr>
              <w:t>Balance as of June 30, 2014 (unaudited)</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8"/>
              </w:rPr>
              <w:t>*)</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80" w:type="dxa"/>
            <w:vAlign w:val="bottom"/>
            <w:gridSpan w:val="4"/>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331,534</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jc w:val="right"/>
              <w:ind w:right="52"/>
              <w:spacing w:after="0" w:line="155" w:lineRule="exact"/>
              <w:rPr>
                <w:sz w:val="20"/>
                <w:szCs w:val="20"/>
                <w:color w:val="auto"/>
              </w:rPr>
            </w:pPr>
            <w:r>
              <w:rPr>
                <w:rFonts w:ascii="Arial" w:cs="Arial" w:eastAsia="Arial" w:hAnsi="Arial"/>
                <w:sz w:val="14"/>
                <w:szCs w:val="14"/>
                <w:color w:val="auto"/>
                <w:w w:val="98"/>
              </w:rPr>
              <w:t>*)</w:t>
            </w: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0"/>
              </w:rPr>
              <w:t>187,776</w:t>
            </w:r>
          </w:p>
        </w:tc>
        <w:tc>
          <w:tcPr>
            <w:tcW w:w="4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34,035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(36,647)</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(2,612)</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5620" w:type="dxa"/>
            <w:vAlign w:val="bottom"/>
            <w:gridSpan w:val="2"/>
          </w:tcPr>
          <w:p>
            <w:pPr>
              <w:spacing w:after="0"/>
              <w:rPr>
                <w:sz w:val="20"/>
                <w:szCs w:val="20"/>
                <w:color w:val="auto"/>
              </w:rPr>
            </w:pPr>
            <w:r>
              <w:rPr>
                <w:rFonts w:ascii="Arial" w:cs="Arial" w:eastAsia="Arial" w:hAnsi="Arial"/>
                <w:sz w:val="18"/>
                <w:szCs w:val="18"/>
                <w:color w:val="auto"/>
              </w:rPr>
              <w:t>Represents an amount lower than $1.</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REWALK ROBOTICS LTD. (FORMERLY ARGO MEDICAL TECHNOLOGIES LTD.)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tcPr>
          <w:p>
            <w:pPr>
              <w:jc w:val="right"/>
              <w:ind w:right="460"/>
              <w:spacing w:after="0" w:line="14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center"/>
              <w:ind w:left="212"/>
              <w:spacing w:after="0" w:line="149" w:lineRule="exact"/>
              <w:rPr>
                <w:sz w:val="20"/>
                <w:szCs w:val="20"/>
                <w:color w:val="auto"/>
              </w:rPr>
            </w:pPr>
            <w:r>
              <w:rPr>
                <w:rFonts w:ascii="Arial" w:cs="Arial" w:eastAsia="Arial" w:hAnsi="Arial"/>
                <w:sz w:val="14"/>
                <w:szCs w:val="14"/>
                <w:b w:val="1"/>
                <w:bCs w:val="1"/>
                <w:color w:val="auto"/>
                <w:w w:val="82"/>
              </w:rPr>
              <w:t>ended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2012</w:t>
            </w: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2013</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5"/>
          </w:tcPr>
          <w:p>
            <w:pPr>
              <w:jc w:val="center"/>
              <w:ind w:right="12"/>
              <w:spacing w:after="0" w:line="142" w:lineRule="exact"/>
              <w:rPr>
                <w:sz w:val="20"/>
                <w:szCs w:val="20"/>
                <w:color w:val="auto"/>
              </w:rPr>
            </w:pPr>
            <w:r>
              <w:rPr>
                <w:rFonts w:ascii="Arial" w:cs="Arial" w:eastAsia="Arial" w:hAnsi="Arial"/>
                <w:sz w:val="14"/>
                <w:szCs w:val="14"/>
                <w:b w:val="1"/>
                <w:bCs w:val="1"/>
                <w:color w:val="auto"/>
                <w:w w:val="90"/>
              </w:rPr>
              <w:t>Unaudited</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tcBorders>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2"/>
                <w:szCs w:val="12"/>
                <w:color w:val="auto"/>
              </w:rPr>
              <w:t>Cash flows from operating activities:</w:t>
            </w:r>
          </w:p>
        </w:tc>
        <w:tc>
          <w:tcPr>
            <w:tcW w:w="4880" w:type="dxa"/>
            <w:vAlign w:val="bottom"/>
            <w:tcBorders>
              <w:bottom w:val="single" w:sz="8" w:color="CCEEFF"/>
            </w:tcBorders>
            <w:gridSpan w:val="3"/>
            <w:shd w:val="clear" w:color="auto" w:fill="CCEEFF"/>
          </w:tcPr>
          <w:p>
            <w:pPr>
              <w:spacing w:after="0"/>
              <w:rPr>
                <w:sz w:val="10"/>
                <w:szCs w:val="10"/>
                <w:color w:val="auto"/>
              </w:rPr>
            </w:pPr>
          </w:p>
        </w:tc>
        <w:tc>
          <w:tcPr>
            <w:tcW w:w="1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tcPr>
          <w:p>
            <w:pPr>
              <w:spacing w:after="0" w:line="149" w:lineRule="exact"/>
              <w:rPr>
                <w:sz w:val="20"/>
                <w:szCs w:val="20"/>
                <w:color w:val="auto"/>
              </w:rPr>
            </w:pPr>
            <w:r>
              <w:rPr>
                <w:rFonts w:ascii="Arial" w:cs="Arial" w:eastAsia="Arial" w:hAnsi="Arial"/>
                <w:sz w:val="14"/>
                <w:szCs w:val="14"/>
                <w:color w:val="auto"/>
              </w:rPr>
              <w:t>Net loss</w:t>
            </w:r>
          </w:p>
        </w:tc>
        <w:tc>
          <w:tcPr>
            <w:tcW w:w="1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1"/>
              </w:rPr>
              <w:t>(6,658)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(12,177)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1"/>
              </w:rPr>
              <w:t>(5,452)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(9,741)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tcPr>
          <w:p>
            <w:pPr>
              <w:ind w:left="420"/>
              <w:spacing w:after="0"/>
              <w:rPr>
                <w:sz w:val="20"/>
                <w:szCs w:val="20"/>
                <w:color w:val="auto"/>
              </w:rPr>
            </w:pPr>
            <w:r>
              <w:rPr>
                <w:rFonts w:ascii="Arial" w:cs="Arial" w:eastAsia="Arial" w:hAnsi="Arial"/>
                <w:sz w:val="14"/>
                <w:szCs w:val="14"/>
                <w:color w:val="auto"/>
              </w:rPr>
              <w:t>Depreciation</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Share-based compensation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113</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Deferred taxes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expenses related to convertible loans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1,152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Revaluation of fair value of warrants to purchase convertible preferred share</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Warrants to venture lending</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80" w:type="dxa"/>
            <w:vAlign w:val="bottom"/>
            <w:gridSpan w:val="5"/>
          </w:tcPr>
          <w:p>
            <w:pPr>
              <w:ind w:left="420"/>
              <w:spacing w:after="0"/>
              <w:rPr>
                <w:sz w:val="20"/>
                <w:szCs w:val="20"/>
                <w:color w:val="auto"/>
              </w:rPr>
            </w:pPr>
            <w:r>
              <w:rPr>
                <w:rFonts w:ascii="Arial" w:cs="Arial" w:eastAsia="Arial" w:hAnsi="Arial"/>
                <w:sz w:val="14"/>
                <w:szCs w:val="14"/>
                <w:color w:val="auto"/>
              </w:rPr>
              <w:t>Financial expenses resulted from Issuance of Series D preferred shares to related party</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1,114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assets and liabilities: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5"/>
          </w:tcPr>
          <w:p>
            <w:pPr>
              <w:ind w:left="860"/>
              <w:spacing w:after="0"/>
              <w:rPr>
                <w:sz w:val="20"/>
                <w:szCs w:val="20"/>
                <w:color w:val="auto"/>
              </w:rPr>
            </w:pPr>
            <w:r>
              <w:rPr>
                <w:rFonts w:ascii="Arial" w:cs="Arial" w:eastAsia="Arial" w:hAnsi="Arial"/>
                <w:sz w:val="14"/>
                <w:szCs w:val="14"/>
                <w:color w:val="auto"/>
              </w:rPr>
              <w:t>Trade receivables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(234)</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current and long-term assets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tcPr>
          <w:p>
            <w:pPr>
              <w:ind w:left="860"/>
              <w:spacing w:after="0" w:line="149" w:lineRule="exact"/>
              <w:rPr>
                <w:sz w:val="20"/>
                <w:szCs w:val="20"/>
                <w:color w:val="auto"/>
              </w:rPr>
            </w:pPr>
            <w:r>
              <w:rPr>
                <w:rFonts w:ascii="Arial" w:cs="Arial" w:eastAsia="Arial" w:hAnsi="Arial"/>
                <w:sz w:val="14"/>
                <w:szCs w:val="14"/>
                <w:color w:val="auto"/>
              </w:rPr>
              <w:t>Inventories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(265)</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ind w:left="860"/>
              <w:spacing w:after="0" w:line="149" w:lineRule="exact"/>
              <w:rPr>
                <w:sz w:val="20"/>
                <w:szCs w:val="20"/>
                <w:color w:val="auto"/>
              </w:rPr>
            </w:pPr>
            <w:r>
              <w:rPr>
                <w:rFonts w:ascii="Arial" w:cs="Arial" w:eastAsia="Arial" w:hAnsi="Arial"/>
                <w:sz w:val="14"/>
                <w:szCs w:val="14"/>
                <w:color w:val="auto"/>
              </w:rPr>
              <w:t>Trade payables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tcPr>
          <w:p>
            <w:pPr>
              <w:ind w:left="860"/>
              <w:spacing w:after="0" w:line="149" w:lineRule="exact"/>
              <w:rPr>
                <w:sz w:val="20"/>
                <w:szCs w:val="20"/>
                <w:color w:val="auto"/>
              </w:rPr>
            </w:pPr>
            <w:r>
              <w:rPr>
                <w:rFonts w:ascii="Arial" w:cs="Arial" w:eastAsia="Arial" w:hAnsi="Arial"/>
                <w:sz w:val="14"/>
                <w:szCs w:val="14"/>
                <w:color w:val="auto"/>
              </w:rPr>
              <w:t>Employees and payroll accruals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revenues and advances from customers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tcPr>
          <w:p>
            <w:pPr>
              <w:ind w:left="860"/>
              <w:spacing w:after="0" w:line="149" w:lineRule="exact"/>
              <w:rPr>
                <w:sz w:val="20"/>
                <w:szCs w:val="20"/>
                <w:color w:val="auto"/>
              </w:rPr>
            </w:pPr>
            <w:r>
              <w:rPr>
                <w:rFonts w:ascii="Arial" w:cs="Arial" w:eastAsia="Arial" w:hAnsi="Arial"/>
                <w:sz w:val="14"/>
                <w:szCs w:val="14"/>
                <w:color w:val="auto"/>
              </w:rPr>
              <w:t>Other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ind w:left="860"/>
              <w:spacing w:after="0" w:line="149" w:lineRule="exact"/>
              <w:rPr>
                <w:sz w:val="20"/>
                <w:szCs w:val="20"/>
                <w:color w:val="auto"/>
              </w:rPr>
            </w:pPr>
            <w:r>
              <w:rPr>
                <w:rFonts w:ascii="Arial" w:cs="Arial" w:eastAsia="Arial" w:hAnsi="Arial"/>
                <w:sz w:val="14"/>
                <w:szCs w:val="14"/>
                <w:color w:val="auto"/>
              </w:rPr>
              <w:t>Severance pay, net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gridSpan w:val="6"/>
          </w:tcPr>
          <w:p>
            <w:pPr>
              <w:spacing w:after="0"/>
              <w:rPr>
                <w:sz w:val="20"/>
                <w:szCs w:val="20"/>
                <w:color w:val="auto"/>
              </w:rPr>
            </w:pPr>
            <w:r>
              <w:rPr>
                <w:rFonts w:ascii="Arial" w:cs="Arial" w:eastAsia="Arial" w:hAnsi="Arial"/>
                <w:sz w:val="14"/>
                <w:szCs w:val="14"/>
                <w:color w:val="auto"/>
              </w:rPr>
              <w:t>Net cash used in operating activities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w w:val="81"/>
              </w:rPr>
              <w:t>(5,387)</w:t>
            </w:r>
          </w:p>
        </w:tc>
        <w:tc>
          <w:tcPr>
            <w:tcW w:w="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(8,800)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w w:val="81"/>
              </w:rPr>
              <w:t>(3,858)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(7,312)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9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98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88"/>
              </w:rPr>
              <w:t>Cash flows from investing activities:</w:t>
            </w:r>
          </w:p>
        </w:tc>
        <w:tc>
          <w:tcPr>
            <w:tcW w:w="4900" w:type="dxa"/>
            <w:vAlign w:val="bottom"/>
            <w:tcBorders>
              <w:bottom w:val="single" w:sz="8" w:color="CCEEFF"/>
            </w:tcBorders>
            <w:gridSpan w:val="4"/>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gridSpan w:val="5"/>
          </w:tcPr>
          <w:p>
            <w:pPr>
              <w:spacing w:after="0" w:line="142" w:lineRule="exact"/>
              <w:rPr>
                <w:sz w:val="20"/>
                <w:szCs w:val="20"/>
                <w:color w:val="auto"/>
              </w:rPr>
            </w:pPr>
            <w:r>
              <w:rPr>
                <w:rFonts w:ascii="Arial" w:cs="Arial" w:eastAsia="Arial" w:hAnsi="Arial"/>
                <w:sz w:val="14"/>
                <w:szCs w:val="14"/>
                <w:color w:val="auto"/>
              </w:rPr>
              <w:t>Change in long-term deposits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(148)</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gridSpan w:val="6"/>
          </w:tcPr>
          <w:p>
            <w:pPr>
              <w:spacing w:after="0"/>
              <w:rPr>
                <w:sz w:val="20"/>
                <w:szCs w:val="20"/>
                <w:color w:val="auto"/>
              </w:rPr>
            </w:pPr>
            <w:r>
              <w:rPr>
                <w:rFonts w:ascii="Arial" w:cs="Arial" w:eastAsia="Arial" w:hAnsi="Arial"/>
                <w:sz w:val="14"/>
                <w:szCs w:val="14"/>
                <w:color w:val="auto"/>
              </w:rPr>
              <w:t>Net cash used in investing activities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(186)</w:t>
            </w:r>
          </w:p>
        </w:tc>
        <w:tc>
          <w:tcPr>
            <w:tcW w:w="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9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w w:val="89"/>
              </w:rPr>
              <w:t>Cash flows from financing activities:</w:t>
            </w:r>
          </w:p>
        </w:tc>
        <w:tc>
          <w:tcPr>
            <w:tcW w:w="4880" w:type="dxa"/>
            <w:vAlign w:val="bottom"/>
            <w:tcBorders>
              <w:bottom w:val="single" w:sz="8" w:color="CCEEFF"/>
            </w:tcBorders>
            <w:gridSpan w:val="3"/>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gridSpan w:val="5"/>
          </w:tcPr>
          <w:p>
            <w:pPr>
              <w:spacing w:after="0" w:line="142" w:lineRule="exact"/>
              <w:rPr>
                <w:sz w:val="20"/>
                <w:szCs w:val="20"/>
                <w:color w:val="auto"/>
              </w:rPr>
            </w:pPr>
            <w:r>
              <w:rPr>
                <w:rFonts w:ascii="Arial" w:cs="Arial" w:eastAsia="Arial" w:hAnsi="Arial"/>
                <w:sz w:val="14"/>
                <w:szCs w:val="14"/>
                <w:color w:val="auto"/>
              </w:rPr>
              <w:t>Issuance of convertible loans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682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7,048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w w:val="91"/>
              </w:rPr>
              <w:t>7,048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Issuance of Series C convertible preferred share, including warrants, net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5,101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tcPr>
          <w:p>
            <w:pPr>
              <w:spacing w:after="0" w:line="149" w:lineRule="exact"/>
              <w:rPr>
                <w:sz w:val="20"/>
                <w:szCs w:val="20"/>
                <w:color w:val="auto"/>
              </w:rPr>
            </w:pPr>
            <w:r>
              <w:rPr>
                <w:rFonts w:ascii="Arial" w:cs="Arial" w:eastAsia="Arial" w:hAnsi="Arial"/>
                <w:sz w:val="14"/>
                <w:szCs w:val="14"/>
                <w:color w:val="auto"/>
              </w:rPr>
              <w:t>Issuance of ordinary share upon exercise of stock options by employees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Issuance of Series D convertible preferred share, net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10,023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tcPr>
          <w:p>
            <w:pPr>
              <w:spacing w:after="0" w:line="149" w:lineRule="exact"/>
              <w:rPr>
                <w:sz w:val="20"/>
                <w:szCs w:val="20"/>
                <w:color w:val="auto"/>
              </w:rPr>
            </w:pPr>
            <w:r>
              <w:rPr>
                <w:rFonts w:ascii="Arial" w:cs="Arial" w:eastAsia="Arial" w:hAnsi="Arial"/>
                <w:sz w:val="14"/>
                <w:szCs w:val="14"/>
                <w:color w:val="auto"/>
              </w:rPr>
              <w:t>Issuance costs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9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5,783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17,071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7,048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gridSpan w:val="6"/>
          </w:tcPr>
          <w:p>
            <w:pPr>
              <w:spacing w:after="0"/>
              <w:rPr>
                <w:sz w:val="20"/>
                <w:szCs w:val="20"/>
                <w:color w:val="auto"/>
              </w:rPr>
            </w:pPr>
            <w:r>
              <w:rPr>
                <w:rFonts w:ascii="Arial" w:cs="Arial" w:eastAsia="Arial" w:hAnsi="Arial"/>
                <w:sz w:val="14"/>
                <w:szCs w:val="14"/>
                <w:color w:val="auto"/>
              </w:rPr>
              <w:t>Increase (decrease) in cash and cash equivalents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210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8,091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3,137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(7,956)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8,860</w:t>
            </w: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gridSpan w:val="6"/>
          </w:tcPr>
          <w:p>
            <w:pPr>
              <w:spacing w:after="0"/>
              <w:rPr>
                <w:sz w:val="20"/>
                <w:szCs w:val="20"/>
                <w:color w:val="auto"/>
              </w:rPr>
            </w:pPr>
            <w:r>
              <w:rPr>
                <w:rFonts w:ascii="Arial" w:cs="Arial" w:eastAsia="Arial" w:hAnsi="Arial"/>
                <w:sz w:val="14"/>
                <w:szCs w:val="14"/>
                <w:color w:val="auto"/>
              </w:rPr>
              <w:t>Cash and cash equivalents at end of period</w:t>
            </w:r>
          </w:p>
        </w:tc>
        <w:tc>
          <w:tcPr>
            <w:tcW w:w="18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769</w:t>
            </w:r>
          </w:p>
        </w:tc>
        <w:tc>
          <w:tcPr>
            <w:tcW w:w="3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8,860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3,906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9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88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color w:val="auto"/>
              </w:rPr>
              <w:t>Supplemental disclosures of non-cash flow information</w:t>
            </w: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880" w:type="dxa"/>
            <w:vAlign w:val="bottom"/>
            <w:gridSpan w:val="5"/>
          </w:tcPr>
          <w:p>
            <w:pPr>
              <w:spacing w:after="0" w:line="142" w:lineRule="exact"/>
              <w:rPr>
                <w:sz w:val="20"/>
                <w:szCs w:val="20"/>
                <w:color w:val="auto"/>
              </w:rPr>
            </w:pPr>
            <w:r>
              <w:rPr>
                <w:rFonts w:ascii="Arial" w:cs="Arial" w:eastAsia="Arial" w:hAnsi="Arial"/>
                <w:sz w:val="14"/>
                <w:szCs w:val="14"/>
                <w:color w:val="auto"/>
              </w:rPr>
              <w:t>Conversion of convertible loan into Series C convertible preferred share</w:t>
            </w:r>
          </w:p>
        </w:tc>
        <w:tc>
          <w:tcPr>
            <w:tcW w:w="18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w w:val="91"/>
              </w:rPr>
              <w:t>1,017</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9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loan into Series D convertible preferred share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9,896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6"/>
          </w:tcPr>
          <w:p>
            <w:pPr>
              <w:spacing w:after="0"/>
              <w:rPr>
                <w:sz w:val="20"/>
                <w:szCs w:val="20"/>
                <w:color w:val="auto"/>
              </w:rPr>
            </w:pPr>
            <w:r>
              <w:rPr>
                <w:rFonts w:ascii="Arial" w:cs="Arial" w:eastAsia="Arial" w:hAnsi="Arial"/>
                <w:sz w:val="14"/>
                <w:szCs w:val="14"/>
                <w:color w:val="auto"/>
              </w:rPr>
              <w:t>Warrants to purchase Series D convertible preferred share issued to service provider</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62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9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Warrants to purchase Series D convertible preferred share issued to venture lending</w:t>
            </w:r>
          </w:p>
        </w:tc>
        <w:tc>
          <w:tcPr>
            <w:tcW w:w="18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00" w:type="dxa"/>
            <w:vAlign w:val="bottom"/>
            <w:gridSpan w:val="6"/>
            <w:vMerge w:val="restart"/>
          </w:tcPr>
          <w:p>
            <w:pPr>
              <w:spacing w:after="0"/>
              <w:rPr>
                <w:sz w:val="20"/>
                <w:szCs w:val="20"/>
                <w:color w:val="auto"/>
              </w:rPr>
            </w:pPr>
            <w:r>
              <w:rPr>
                <w:rFonts w:ascii="Arial" w:cs="Arial" w:eastAsia="Arial" w:hAnsi="Arial"/>
                <w:sz w:val="14"/>
                <w:szCs w:val="14"/>
                <w:color w:val="auto"/>
              </w:rPr>
              <w:t>Series D convertible preferred shares issued to related party</w:t>
            </w: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gridSpan w:val="6"/>
            <w:vMerge w:val="continue"/>
          </w:tcPr>
          <w:p>
            <w:pPr>
              <w:spacing w:after="0"/>
              <w:rPr>
                <w:sz w:val="12"/>
                <w:szCs w:val="12"/>
                <w:color w:val="auto"/>
              </w:rPr>
            </w:pPr>
          </w:p>
        </w:tc>
        <w:tc>
          <w:tcPr>
            <w:tcW w:w="18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w w:val="96"/>
              </w:rPr>
              <w:t>1,114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8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Issuance costs</w:t>
            </w:r>
          </w:p>
        </w:tc>
        <w:tc>
          <w:tcPr>
            <w:tcW w:w="18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0"/>
        </w:trPr>
        <w:tc>
          <w:tcPr>
            <w:tcW w:w="6900" w:type="dxa"/>
            <w:vAlign w:val="bottom"/>
            <w:gridSpan w:val="6"/>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gridSpan w:val="6"/>
            <w:vMerge w:val="continue"/>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Cash paid for income taxes</w:t>
            </w:r>
          </w:p>
        </w:tc>
        <w:tc>
          <w:tcPr>
            <w:tcW w:w="4100" w:type="dxa"/>
            <w:vAlign w:val="bottom"/>
            <w:gridSpan w:val="2"/>
            <w:shd w:val="clear" w:color="auto" w:fill="CCEEFF"/>
          </w:tcPr>
          <w:p>
            <w:pPr>
              <w:spacing w:after="0"/>
              <w:rPr>
                <w:sz w:val="12"/>
                <w:szCs w:val="12"/>
                <w:color w:val="auto"/>
              </w:rPr>
            </w:pPr>
          </w:p>
        </w:tc>
        <w:tc>
          <w:tcPr>
            <w:tcW w:w="1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123</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GENERAL</w:t>
      </w:r>
    </w:p>
    <w:p>
      <w:pPr>
        <w:spacing w:after="0" w:line="96" w:lineRule="exact"/>
        <w:rPr>
          <w:sz w:val="20"/>
          <w:szCs w:val="20"/>
          <w:color w:val="auto"/>
        </w:rPr>
      </w:pPr>
    </w:p>
    <w:p>
      <w:pPr>
        <w:ind w:left="900" w:right="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ReWalk Robotics Ltd. (“RRL” and together with its subsidiaries, collectively, the “Company”) was incorporated under the laws of the State of Israel on June 20, 2001 and commenced operations on the same date.</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RRL has two wholly-owned subsidiaries: (i) ReWalk Robotics Inc. (“RRI”) incorporated under the laws of U.S. on February 15, 2012 and (ii) Argo Medical Technologies GmbH (“AMG”) incorporated under the laws of Germany on January 14, 2013.</w:t>
      </w:r>
    </w:p>
    <w:p>
      <w:pPr>
        <w:spacing w:after="0" w:line="50" w:lineRule="exact"/>
        <w:rPr>
          <w:rFonts w:ascii="Arial" w:cs="Arial" w:eastAsia="Arial" w:hAnsi="Arial"/>
          <w:sz w:val="18"/>
          <w:szCs w:val="18"/>
          <w:color w:val="auto"/>
        </w:rPr>
      </w:pPr>
    </w:p>
    <w:p>
      <w:pPr>
        <w:ind w:left="900" w:hanging="446"/>
        <w:spacing w:after="0" w:line="253"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has developed and commercializes the ReWalk system, an innovative exoskeleton that enables wheelchair-bound persons to walk once again. The ReWalk system consists of a light wearable brace support suit which integrates motors at the joints, rechargeable batteries, an array of sensors and a computer-based control system that fits over the clothes of the users. There are currently two products: ReWalk Personal and ReWalk Rehabilitation. ReWalk Personal is designed for everyday use by individuals at home and in their communities, and is custom-fit for each user. ReWalk Rehabilitation is designed for the clinical rehabilitation environment and provides a valuable means of exercise and therapy for individuals with lower limb disabilities. It also enables individuals to evaluate their capacity for using a ReWalk Personal system for home use in the future (see also Note 14d).</w:t>
      </w:r>
    </w:p>
    <w:p>
      <w:pPr>
        <w:spacing w:after="0" w:line="66"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markets and sells its products directly to institutions and individuals and through third-party distributors. The Company sells its products directly primarily in Germany and the United States and primarily through distributors in other markets. In direct markets, the Company has established relationships with rehabilitation centers and the spinal cord injury community, and in its indirect markets, the Company’s distributors maintain these relationships. Sales of ReWalk Personal are generated primarily from the patient base at the Company’s rehabilitation centers, referrals through the spinal cord injury community and direct inquiries from potential users. RRI markets and sells products mainly in the United States and Canada. AMG sell the Company’s products mainly in Germany and Europe, respectively.</w:t>
      </w:r>
    </w:p>
    <w:p>
      <w:pPr>
        <w:spacing w:after="0" w:line="39"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has incurred losses in the amount of $ 12,177 during the year ended December 31, 2013. The Company has an accumulated deficit in the total amount of $ 26,906 as of December 31, 2013 and as of that date the accumulated negative cash flow from operating activity is in the amount of $ 8,800. During July 2014 the Company completed issuance of Series E convertible preferred shares in proceeds of approximately $13,000. In addition, during June 2014 the Company entered into a loan agreement with Kreos Capital IV (Expert Fund) Limited (“Kreos”) pursuant to which Kreos agreed to grant a line of credit to the Company of $5,000.Therefore, the conditions that raised substantial doubt about whether the Company will continue as a going concern no longer exists.</w:t>
      </w:r>
    </w:p>
    <w:p>
      <w:pPr>
        <w:spacing w:after="0" w:line="1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The consolidated financial statements are prepared according to United States generally accepted accounting principles (“U.S. GAAP”), applied on a consistent basis, as follows:</w:t>
      </w:r>
    </w:p>
    <w:p>
      <w:pPr>
        <w:spacing w:after="0" w:line="51"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90"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SIGNIFICANT ACCOUNTING POLICIES (Cont.)</w:t>
      </w:r>
    </w:p>
    <w:p>
      <w:pPr>
        <w:spacing w:after="0" w:line="164"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and liabilities at the dates of the financial statements, and the reported amounts of revenues and expenses during the reporting period. Actual results could differ from those estimates. On an ongoing basis, the Company’s management evaluates estimates, including those related to inventories, fair values of preferred share warrants, fair values of share-based awards and contingent liabilities. Such estimates are based on historical experience and on various other assumptions that are believed to be reasonable, the results of which form the basis for making judgments about the carrying values of assets and liabilities.</w:t>
      </w:r>
    </w:p>
    <w:p>
      <w:pPr>
        <w:spacing w:after="0" w:line="62"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90"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Most of the revenues and costs of the Company are denominated in United States dollars (“dollars”). Some of the Company’s and its subsidiaries’ revenues and costs are incurred in Euros and New Israeli Shekels (“NIS”); however, the selling prices are linked to the Company’s price list which is determined in dollars, the budget is managed in dollars and the Company’s management believes that the dollar is the primary currency of the economic environment in which the Company and each of its subsidiaries operate. Thus, the dollar is the Company’s and its subsidiaries’ functional and reporting currency.</w:t>
      </w:r>
    </w:p>
    <w:p>
      <w:pPr>
        <w:spacing w:after="0" w:line="62" w:lineRule="exact"/>
        <w:rPr>
          <w:sz w:val="20"/>
          <w:szCs w:val="20"/>
          <w:color w:val="auto"/>
        </w:rPr>
      </w:pPr>
    </w:p>
    <w:p>
      <w:pPr>
        <w:ind w:left="920" w:right="220"/>
        <w:spacing w:after="0" w:line="318" w:lineRule="auto"/>
        <w:rPr>
          <w:sz w:val="20"/>
          <w:szCs w:val="20"/>
          <w:color w:val="auto"/>
        </w:rPr>
      </w:pPr>
      <w:r>
        <w:rPr>
          <w:rFonts w:ascii="Arial" w:cs="Arial" w:eastAsia="Arial" w:hAnsi="Arial"/>
          <w:sz w:val="15"/>
          <w:szCs w:val="15"/>
          <w:color w:val="auto"/>
        </w:rPr>
        <w:t>Accordingly, transactions denominated in currencies other than the functional currency are re-measured to the functional currency in accordance with Accounting Standards Codification (“ASC”) No. 830, “Foreign Currency Matters” at the exchange rate at the date of the transaction or the average exchange rate in the quarter. At the end of each reporting period, financial assets and liabilities are re-measured to the functional currency using exchange rates in effect at the balance sheet date. Non-financial assets and liabilities are re-measured at historical exchange rates. Gains and losses related to re-measurement are recorded as financial income (expense) in the consolidated statements of operations as appropriate.</w:t>
      </w:r>
    </w:p>
    <w:p>
      <w:pPr>
        <w:spacing w:after="0" w:line="19"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90"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RRI and AMG. All intercompany transactions and balances have been eliminated upon consolidation.</w:t>
      </w:r>
    </w:p>
    <w:p>
      <w:pPr>
        <w:spacing w:after="0" w:line="5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 Forma Consolidated Balance Sheet (unaudited)</w:t>
      </w:r>
    </w:p>
    <w:p>
      <w:pPr>
        <w:spacing w:after="0" w:line="90" w:lineRule="exact"/>
        <w:rPr>
          <w:sz w:val="20"/>
          <w:szCs w:val="20"/>
          <w:color w:val="auto"/>
        </w:rPr>
      </w:pPr>
    </w:p>
    <w:p>
      <w:pPr>
        <w:ind w:left="920" w:right="220"/>
        <w:spacing w:after="0" w:line="298" w:lineRule="auto"/>
        <w:rPr>
          <w:sz w:val="20"/>
          <w:szCs w:val="20"/>
          <w:color w:val="auto"/>
        </w:rPr>
      </w:pPr>
      <w:r>
        <w:rPr>
          <w:rFonts w:ascii="Arial" w:cs="Arial" w:eastAsia="Arial" w:hAnsi="Arial"/>
          <w:sz w:val="16"/>
          <w:szCs w:val="16"/>
          <w:color w:val="auto"/>
        </w:rPr>
        <w:t>Immediately prior to the closing of a qualified initial public offering, all of the outstanding convertible preferred shares will automatically convert into ordinary shares. The June 30, 2014 pro forma consolidated balance sheet has been prepared assuming the automatic conversion of all outstanding convertible preferred shares into 5,967,612 ordinary shares and the exercise of all warrants, which are exercisable through the initial public offering, for 464,904 ordinary shares (see Note 10 and Note 14f).</w:t>
      </w:r>
    </w:p>
    <w:p>
      <w:pPr>
        <w:spacing w:after="0" w:line="32"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 Forma Net Loss Per Ordinary Share (unaudited)</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unaudited pro forma basic net loss per share and diluted net loss per share for the six month period ended June 30, 2014, assumes the conversion of the outstanding convertible preferred shares into ordinary shares and the exercise of outstanding warrants for ordinary shares (see Note 10 and Note 14f) as of the latest of the beginning of the period or the issuance date. The net loss of $(9,741) was adjusted to $(8,949) in order to eliminate the revaluation of the warrants liability.</w:t>
      </w:r>
    </w:p>
    <w:p>
      <w:pPr>
        <w:spacing w:after="0" w:line="62"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90"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acquired.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8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SIGNIFICANT ACCOUNTING POLICIES (Cont.)</w:t>
      </w:r>
    </w:p>
    <w:p>
      <w:pPr>
        <w:spacing w:after="0" w:line="164"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90" w:lineRule="exact"/>
        <w:rPr>
          <w:sz w:val="20"/>
          <w:szCs w:val="20"/>
          <w:color w:val="auto"/>
        </w:rPr>
      </w:pPr>
    </w:p>
    <w:p>
      <w:pPr>
        <w:ind w:left="920" w:right="660"/>
        <w:spacing w:after="0" w:line="254" w:lineRule="auto"/>
        <w:rPr>
          <w:sz w:val="20"/>
          <w:szCs w:val="20"/>
          <w:color w:val="auto"/>
        </w:rPr>
      </w:pPr>
      <w:r>
        <w:rPr>
          <w:rFonts w:ascii="Arial" w:cs="Arial" w:eastAsia="Arial" w:hAnsi="Arial"/>
          <w:sz w:val="18"/>
          <w:szCs w:val="18"/>
          <w:color w:val="auto"/>
        </w:rPr>
        <w:t>Inventories are stated at the lower of cost or market value. Inventory reserves are provided to cover risks arising from slow-moving items or technological obsolescence.</w:t>
      </w:r>
    </w:p>
    <w:p>
      <w:pPr>
        <w:ind w:left="920"/>
        <w:spacing w:after="0" w:line="261" w:lineRule="auto"/>
        <w:rPr>
          <w:sz w:val="20"/>
          <w:szCs w:val="20"/>
          <w:color w:val="auto"/>
        </w:rPr>
      </w:pPr>
      <w:r>
        <w:rPr>
          <w:rFonts w:ascii="Arial" w:cs="Arial" w:eastAsia="Arial" w:hAnsi="Arial"/>
          <w:sz w:val="18"/>
          <w:szCs w:val="18"/>
          <w:color w:val="auto"/>
        </w:rPr>
        <w:t>The Company and its subsidiaries periodically evaluate the quantities on hand relative to historical, current and projected sales volume. Based on this evaluation, an impairment charge is recorded when required to write-down inventory to its market value.</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Cost is determined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Raw materials, auxiliary materials and spare parts- on the basis of raw materials cost on “first in, first out” basis.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Finished products- on the basis of raw materials and manufacturing costs on an average basis.</w:t>
      </w:r>
    </w:p>
    <w:p>
      <w:pPr>
        <w:spacing w:after="0" w:line="90" w:lineRule="exact"/>
        <w:rPr>
          <w:sz w:val="20"/>
          <w:szCs w:val="20"/>
          <w:color w:val="auto"/>
        </w:rPr>
      </w:pPr>
    </w:p>
    <w:p>
      <w:pPr>
        <w:ind w:left="920" w:right="200"/>
        <w:spacing w:after="0" w:line="291" w:lineRule="auto"/>
        <w:rPr>
          <w:sz w:val="20"/>
          <w:szCs w:val="20"/>
          <w:color w:val="auto"/>
        </w:rPr>
      </w:pPr>
      <w:r>
        <w:rPr>
          <w:rFonts w:ascii="Arial" w:cs="Arial" w:eastAsia="Arial" w:hAnsi="Arial"/>
          <w:sz w:val="16"/>
          <w:szCs w:val="16"/>
          <w:color w:val="auto"/>
        </w:rPr>
        <w:t>The Company regularly evaluates the ability to realize the value of inventory based on a combination of factors, including the following: historical usage rates and forecasted sales according to outstanding backlogs. Purchasing requirements and alternative usage are explored within these processes to mitigate inventory exposure. When recorded, the reserves are intended to reduce the carrying value of inventory to its net realizable value. In the year ended December 31, 2012 and 2013, the Company wrote off inventory in the amount of $91 and $88, respectively. In the six months period ended June 30, 2014 (unaudited), the Company wrote off inventory in the amount of $59. If actual demand for the Company’s products deteriorates, or market conditions are less favorable than those projected, additional inventory reserves may be required.</w:t>
      </w:r>
    </w:p>
    <w:p>
      <w:pPr>
        <w:spacing w:after="0" w:line="39"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Related party: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a substantial shareholder named Yaskawa Electric Corporation (“YEC”).</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In September 2013 the Company entered into a share purchase agreement (see Note 9d) and a strategic alliance with YEC, pursuant to which YEC has agreed to distribute the Company’s products, in addition to providing sales, marketing, service and training functions, in Japan, China (including Hong-Kong and Macau), Taiwan, South Korea, Singapore and Thailand.</w:t>
      </w:r>
    </w:p>
    <w:p>
      <w:pPr>
        <w:spacing w:after="0" w:line="59" w:lineRule="exact"/>
        <w:rPr>
          <w:sz w:val="20"/>
          <w:szCs w:val="20"/>
          <w:color w:val="auto"/>
        </w:rPr>
      </w:pPr>
    </w:p>
    <w:p>
      <w:pPr>
        <w:ind w:left="920" w:right="160"/>
        <w:spacing w:after="0" w:line="357" w:lineRule="auto"/>
        <w:rPr>
          <w:sz w:val="20"/>
          <w:szCs w:val="20"/>
          <w:color w:val="auto"/>
        </w:rPr>
      </w:pPr>
      <w:r>
        <w:rPr>
          <w:rFonts w:ascii="Arial" w:cs="Arial" w:eastAsia="Arial" w:hAnsi="Arial"/>
          <w:sz w:val="15"/>
          <w:szCs w:val="15"/>
          <w:color w:val="auto"/>
        </w:rPr>
        <w:t>As of December 31, 2013 and June 30, 2014 (unaudited) a related party receivable in the amount of $88 and $178 was included in trade receivable, and reflected all revenues from YEC in the year ended December 31, 2013 and the six months period ended June 30, 2014 (unaudited).</w:t>
      </w: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90" w:lineRule="exact"/>
        <w:rPr>
          <w:sz w:val="20"/>
          <w:szCs w:val="20"/>
          <w:color w:val="auto"/>
        </w:rPr>
      </w:pPr>
    </w:p>
    <w:p>
      <w:pPr>
        <w:ind w:left="920" w:right="600"/>
        <w:spacing w:after="0" w:line="268"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600" w:type="dxa"/>
            <w:vAlign w:val="bottom"/>
            <w:gridSpan w:val="2"/>
          </w:tcPr>
          <w:p>
            <w:pPr>
              <w:jc w:val="center"/>
              <w:ind w:left="153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600" w:type="dxa"/>
            <w:vAlign w:val="bottom"/>
            <w:gridSpan w:val="2"/>
            <w:shd w:val="clear" w:color="auto" w:fill="CCEEFF"/>
          </w:tcPr>
          <w:p>
            <w:pPr>
              <w:jc w:val="center"/>
              <w:ind w:left="1537"/>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64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6 – 10 (mainly 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laboratory equipment</w:t>
            </w:r>
          </w:p>
        </w:tc>
        <w:tc>
          <w:tcPr>
            <w:tcW w:w="4600" w:type="dxa"/>
            <w:vAlign w:val="bottom"/>
            <w:gridSpan w:val="2"/>
            <w:shd w:val="clear" w:color="auto" w:fill="CCEEFF"/>
          </w:tcPr>
          <w:p>
            <w:pPr>
              <w:jc w:val="center"/>
              <w:ind w:left="1537"/>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4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6"/>
              </w:rPr>
              <w:t>Over the shorter of the lease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term or estimated useful life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00" w:type="dxa"/>
            <w:vAlign w:val="bottom"/>
            <w:gridSpan w:val="2"/>
          </w:tcPr>
          <w:p>
            <w:pPr>
              <w:ind w:left="54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SIGNIFICANT ACCOUNTING POLICIES (Cont.)</w:t>
      </w:r>
    </w:p>
    <w:p>
      <w:pPr>
        <w:spacing w:after="0" w:line="164"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90"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The Company’s long-lived assets are reviewed for impairment in accordance with ASC No. 360, “Property, Plant and Equipment” whenever events or changes in circumstances indicate that the carrying amount of an asset (or asset group) may not be recoverable. Recoverability of assets (or asset group)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the years ended December 31, 2012 and 2013 and for the six month period ended June 30, 2014 (unaudited), no impairment losses have been recorded.</w:t>
      </w:r>
    </w:p>
    <w:p>
      <w:pPr>
        <w:spacing w:after="0" w:line="39"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Long-Term Lease Deposits: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Long-term lease deposits include long-term deposits for cars leasing.</w:t>
      </w:r>
    </w:p>
    <w:p>
      <w:pPr>
        <w:spacing w:after="0" w:line="90"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The Company and its subsidiaries generate revenues from sales of products. The Company and its subsidiaries sell their products through a direct sales force and through distributors.</w:t>
      </w:r>
    </w:p>
    <w:p>
      <w:pPr>
        <w:spacing w:after="0" w:line="51" w:lineRule="exact"/>
        <w:rPr>
          <w:sz w:val="20"/>
          <w:szCs w:val="20"/>
          <w:color w:val="auto"/>
        </w:rPr>
      </w:pPr>
    </w:p>
    <w:p>
      <w:pPr>
        <w:jc w:val="both"/>
        <w:ind w:left="920" w:right="60"/>
        <w:spacing w:after="0" w:line="259" w:lineRule="auto"/>
        <w:rPr>
          <w:sz w:val="20"/>
          <w:szCs w:val="20"/>
          <w:color w:val="auto"/>
        </w:rPr>
      </w:pPr>
      <w:r>
        <w:rPr>
          <w:rFonts w:ascii="Arial" w:cs="Arial" w:eastAsia="Arial" w:hAnsi="Arial"/>
          <w:sz w:val="18"/>
          <w:szCs w:val="18"/>
          <w:color w:val="auto"/>
        </w:rPr>
        <w:t>Revenues are recognized in accordance with ASC No. 605, “Revenue Recognition” (“ASC 605”), when delivery has occurred, persuasive evidence of an agreement exists, the fee is fixed and determinable, collectability is reasonably assured and no further obligations exist. Provisions are made at the time of revenue recognition for any applicable warranty cost expected to be incurred.</w:t>
      </w:r>
    </w:p>
    <w:p>
      <w:pPr>
        <w:spacing w:after="0" w:line="59"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The timing for revenue recognition amongst the various products and customers is dependent upon satisfaction of such criteria and generally varies from shipment to delivery to the customer depending on the specific shipping terms of a given transaction, as stipulated in the agreement with each customer.</w:t>
      </w:r>
    </w:p>
    <w:p>
      <w:pPr>
        <w:spacing w:after="0" w:line="59" w:lineRule="exact"/>
        <w:rPr>
          <w:sz w:val="20"/>
          <w:szCs w:val="20"/>
          <w:color w:val="auto"/>
        </w:rPr>
      </w:pPr>
    </w:p>
    <w:p>
      <w:pPr>
        <w:ind w:left="920" w:right="540"/>
        <w:spacing w:after="0" w:line="268" w:lineRule="auto"/>
        <w:rPr>
          <w:sz w:val="20"/>
          <w:szCs w:val="20"/>
          <w:color w:val="auto"/>
        </w:rPr>
      </w:pPr>
      <w:r>
        <w:rPr>
          <w:rFonts w:ascii="Arial" w:cs="Arial" w:eastAsia="Arial" w:hAnsi="Arial"/>
          <w:sz w:val="18"/>
          <w:szCs w:val="18"/>
          <w:color w:val="auto"/>
        </w:rPr>
        <w:t>Other than pricing terms which may differ due to the different volumes of purchases between distributors and end-users, there are no material differences in the terms and arrangements involving direct and indirect customers.</w:t>
      </w:r>
    </w:p>
    <w:p>
      <w:pPr>
        <w:spacing w:after="0" w:line="51"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The Company’s products sold through agreements with distributors are non-exchangeable, non-refundable, non-returnable and without any rights of price protection or share rotation. Accordingly, the Company considers all the distributors to be end-users.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does not grant a right of return for its products.</w:t>
      </w:r>
    </w:p>
    <w:p>
      <w:pPr>
        <w:spacing w:after="0" w:line="90" w:lineRule="exact"/>
        <w:rPr>
          <w:sz w:val="20"/>
          <w:szCs w:val="20"/>
          <w:color w:val="auto"/>
        </w:rPr>
      </w:pPr>
    </w:p>
    <w:p>
      <w:pPr>
        <w:ind w:left="920" w:right="160"/>
        <w:spacing w:after="0" w:line="298" w:lineRule="auto"/>
        <w:rPr>
          <w:sz w:val="20"/>
          <w:szCs w:val="20"/>
          <w:color w:val="auto"/>
        </w:rPr>
      </w:pPr>
      <w:r>
        <w:rPr>
          <w:rFonts w:ascii="Arial" w:cs="Arial" w:eastAsia="Arial" w:hAnsi="Arial"/>
          <w:sz w:val="16"/>
          <w:szCs w:val="16"/>
          <w:color w:val="auto"/>
        </w:rPr>
        <w:t>In respect of sale of systems with training, the Company considers the elements in the arrangement to be a single unit of accounting. In accordance with ASC 605, the Company has concluded that the training is essential to the functionality of the Company’s systems. Therefore the Company recognizes revenue for the system and training only after delivery in accordance with the agreement delivery terms to the customer and after the training has been completed, once all other revenue recognition criteria have been met.</w:t>
      </w:r>
    </w:p>
    <w:p>
      <w:pPr>
        <w:spacing w:after="0" w:line="3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 certain cases, when product arrangements are bundled with extended warranty, the separation of the extended warranty falls under the scope of ASC 605-20-25-1 through 25-6, and the separately price of the extended warranty stated in the agreement is deferred and recognized ratably over the extended warranty period.</w:t>
      </w:r>
    </w:p>
    <w:p>
      <w:pPr>
        <w:spacing w:after="0" w:line="59" w:lineRule="exact"/>
        <w:rPr>
          <w:sz w:val="20"/>
          <w:szCs w:val="20"/>
          <w:color w:val="auto"/>
        </w:rPr>
      </w:pPr>
    </w:p>
    <w:p>
      <w:pPr>
        <w:jc w:val="center"/>
        <w:ind w:right="400"/>
        <w:spacing w:after="0" w:line="440" w:lineRule="auto"/>
        <w:rPr>
          <w:sz w:val="20"/>
          <w:szCs w:val="20"/>
          <w:color w:val="auto"/>
        </w:rPr>
      </w:pPr>
      <w:r>
        <w:rPr>
          <w:rFonts w:ascii="Arial" w:cs="Arial" w:eastAsia="Arial" w:hAnsi="Arial"/>
          <w:sz w:val="18"/>
          <w:szCs w:val="18"/>
          <w:color w:val="auto"/>
        </w:rPr>
        <w:t>Deferred revenue includes primarily unearned amounts received in respect of service contracts but not yet recognized as revenues. F-11</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SIGNIFICANT ACCOUNTING POLICIES (Cont.)</w:t>
      </w:r>
    </w:p>
    <w:p>
      <w:pPr>
        <w:spacing w:after="0" w:line="164"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90"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The Company accounts for share-based compensation in accordance with ASC No. 718, “Compensation-Stock Compensation” (“ASC 718”). ASC 718 requires companies to estimate the fair value of equity-based payment awards on the date of grant using an Option-Pricing Model (“OPM”). The value of the portion of the award that is ultimately expected to vest is recognized as an expense over the requisite service periods in the Company’s consolidated statements of operations.</w:t>
      </w:r>
    </w:p>
    <w:p>
      <w:pPr>
        <w:spacing w:after="0" w:line="62" w:lineRule="exact"/>
        <w:rPr>
          <w:sz w:val="20"/>
          <w:szCs w:val="20"/>
          <w:color w:val="auto"/>
        </w:rPr>
      </w:pPr>
    </w:p>
    <w:p>
      <w:pPr>
        <w:ind w:left="920" w:right="100"/>
        <w:spacing w:after="0" w:line="335" w:lineRule="auto"/>
        <w:rPr>
          <w:sz w:val="20"/>
          <w:szCs w:val="20"/>
          <w:color w:val="auto"/>
        </w:rPr>
      </w:pPr>
      <w:r>
        <w:rPr>
          <w:rFonts w:ascii="Arial" w:cs="Arial" w:eastAsia="Arial" w:hAnsi="Arial"/>
          <w:sz w:val="15"/>
          <w:szCs w:val="15"/>
          <w:color w:val="auto"/>
        </w:rPr>
        <w:t>The Company recognizes compensation expenses for the value of its awards granted based on the straight-line method over the requisite service period of each of the awards, net of estimated forfeitures. ASC 718 requires forfeitures to be estimated at the time of grant and revised, if necessary, in subsequent periods if actual forfeitures differ from those estimates. Estimated forfeitures are based on actual historical pre-vesting forfeitures.</w:t>
      </w:r>
    </w:p>
    <w:p>
      <w:pPr>
        <w:spacing w:after="0" w:line="7"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The Company selected the Black-Scholes-Merton option pricing model as the most appropriate fair value method for its share-option awards. The option-pricing model requires a number of assumptions, of which the most significant are the fair market value of the underlying ordinary share, expected share price volatility and the expected option term. Expected volatility was calculated based upon certain peer companies that the Company considered to be comparable. The expected option term represents the period of time that options granted are expected to be outstanding. The expected option term is determined based on the simplified method in accordance with Staff Accounting Bulletin No. 110, as adequate historical experience is not available to provide a reasonable estimate. The simplified method will continue to apply until enough historical experience is available to provide a reasonable estimate of the expected term. The risk-free interest rate is based on the yield from U.S. treasury bonds with an equivalent term. The Company has historically not paid dividends and has no foreseeable plans to pay dividends.</w:t>
      </w:r>
    </w:p>
    <w:p>
      <w:pPr>
        <w:spacing w:after="0" w:line="37"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The fair value of the ordinary shares underlying the share options has historically been determined by the Company’s board of directors. Because there has been no public market for the Company’s ordinary share, the board of directors has determined fair value of the ordinary share at the time of grant of the option by considering a number of objective and subjective factors including data from other comparable companies, sales of ordinary shares and convertible preferred share to unrelated third parties, operating and financial performance, the lack of liquidity of capital share and general and industry specific economic outlook, amongst other factors. The fair value of the underlying ordinary share will be determined by the board of directors until such time as the Company’s ordinary share is listed on an established stock exchange or national market system.</w:t>
      </w:r>
    </w:p>
    <w:p>
      <w:pPr>
        <w:spacing w:after="0" w:line="39" w:lineRule="exact"/>
        <w:rPr>
          <w:sz w:val="20"/>
          <w:szCs w:val="20"/>
          <w:color w:val="auto"/>
        </w:rPr>
      </w:pPr>
    </w:p>
    <w:p>
      <w:pPr>
        <w:ind w:left="920" w:right="200"/>
        <w:spacing w:after="0" w:line="294" w:lineRule="auto"/>
        <w:rPr>
          <w:sz w:val="20"/>
          <w:szCs w:val="20"/>
          <w:color w:val="auto"/>
        </w:rPr>
      </w:pPr>
      <w:r>
        <w:rPr>
          <w:rFonts w:ascii="Arial" w:cs="Arial" w:eastAsia="Arial" w:hAnsi="Arial"/>
          <w:sz w:val="16"/>
          <w:szCs w:val="16"/>
          <w:color w:val="auto"/>
        </w:rPr>
        <w:t>Since the distributions and participation rights to security holders are different in a sale/liquidation scenario versus an IPO, the valuation of the Company was performed using a weighted average of the values derived from the following scenarios 1) discounted cash flow (DCF) model. The OPM method was then employed to allocate the enterprise value amongst the Company’s various equity classes, deriving a fully marketable value per share for the ordinary share; 2) IPO scenario and 3) Implied value approach. Before the per share value was determined, a discount for lack of marketability and a voting right differential was applied, as applicable, to the ordinary share and the founders share.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8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SIGNIFICANT ACCOUNTING POLICIES (Cont.)</w:t>
      </w:r>
    </w:p>
    <w:p>
      <w:pPr>
        <w:spacing w:after="0" w:line="164"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The fair value for options granted in 2012, 2013 and 2014 is estimated at the date of grant using a Black-Scholes-Merton option pricing model with the following assumptions: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960" w:type="dxa"/>
            <w:vAlign w:val="bottom"/>
            <w:gridSpan w:val="4"/>
          </w:tcPr>
          <w:p>
            <w:pPr>
              <w:ind w:left="8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16"/>
        </w:trPr>
        <w:tc>
          <w:tcPr>
            <w:tcW w:w="47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4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70%-75%</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8"/>
        </w:trPr>
        <w:tc>
          <w:tcPr>
            <w:tcW w:w="4760" w:type="dxa"/>
            <w:vAlign w:val="bottom"/>
          </w:tcPr>
          <w:p>
            <w:pPr>
              <w:spacing w:after="0"/>
              <w:rPr>
                <w:sz w:val="20"/>
                <w:szCs w:val="20"/>
                <w:color w:val="auto"/>
              </w:rPr>
            </w:pPr>
            <w:r>
              <w:rPr>
                <w:rFonts w:ascii="Arial" w:cs="Arial" w:eastAsia="Arial" w:hAnsi="Arial"/>
                <w:sz w:val="18"/>
                <w:szCs w:val="18"/>
                <w:color w:val="auto"/>
              </w:rPr>
              <w:t>Risk-free rate</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0.95%-</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0.92%-1.04%</w:t>
            </w:r>
          </w:p>
        </w:tc>
        <w:tc>
          <w:tcPr>
            <w:tcW w:w="4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2.08%</w:t>
            </w:r>
          </w:p>
        </w:tc>
        <w:tc>
          <w:tcPr>
            <w:tcW w:w="4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6.02-6.08</w:t>
            </w:r>
          </w:p>
        </w:tc>
        <w:tc>
          <w:tcPr>
            <w:tcW w:w="4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6.02 - 6.08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$ 2.48 - $ 2.76</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$ 3.62 - $ 5.80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7.97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The Company accounts for options granted to consultants and other service providers under ASC 718 and ASC No. 505, “Equity-based payments to non-employees.” The fair value of these options was estimated using a Black-Scholes option-pricing model. In 2012 and 2013 the non-cash compensation expenses related to consultants and other service providers were immaterial.</w:t>
      </w:r>
    </w:p>
    <w:p>
      <w:pPr>
        <w:spacing w:after="0" w:line="59"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The non-cash compensation expenses related to employees for the years ended December 31, 2012 and 2013 and for the six month period ended June 30, 2014 (unaudited), amounted to $113, $215 and $382, respectively.</w:t>
      </w:r>
    </w:p>
    <w:p>
      <w:pPr>
        <w:spacing w:after="0" w:line="51"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Research and development costs are charged to the consolidated statement of operations as incurred.</w:t>
      </w:r>
    </w:p>
    <w:p>
      <w:pPr>
        <w:spacing w:after="0" w:line="90"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sz w:val="20"/>
          <w:szCs w:val="20"/>
          <w:color w:val="auto"/>
        </w:rPr>
      </w:pPr>
    </w:p>
    <w:p>
      <w:pPr>
        <w:ind w:left="920" w:right="60"/>
        <w:spacing w:after="0" w:line="298" w:lineRule="auto"/>
        <w:rPr>
          <w:sz w:val="20"/>
          <w:szCs w:val="20"/>
          <w:color w:val="auto"/>
        </w:rPr>
      </w:pPr>
      <w:r>
        <w:rPr>
          <w:rFonts w:ascii="Arial" w:cs="Arial" w:eastAsia="Arial" w:hAnsi="Arial"/>
          <w:sz w:val="16"/>
          <w:szCs w:val="16"/>
          <w:color w:val="auto"/>
        </w:rPr>
        <w:t>The Company accounts for income taxes in accordance with ASC No. 740, “Income Taxes” (“ASC 740”), using the liability method whereby deferred tax assets and liability account balances are determined based on the differences between financial reporting and the tax basis for assets and liabilities and are measured using the enacted tax rates and laws that will be in effect when the differences are expected to reverse. The Company provides a valuation allowance, if necessary, to reduce deferred tax assets to the amounts that are more likely-than-not to be realized.</w:t>
      </w:r>
    </w:p>
    <w:p>
      <w:pPr>
        <w:spacing w:after="0" w:line="32"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in its taxes on income.</w:t>
      </w:r>
    </w:p>
    <w:p>
      <w:pPr>
        <w:spacing w:after="0" w:line="35"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Warrants to Purchase Convertible Preferred Share:</w:t>
      </w:r>
    </w:p>
    <w:p>
      <w:pPr>
        <w:spacing w:after="0" w:line="90"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The Company accounts for freestanding warrants to purchase shares of its convertible preferred share as a liability on the balance sheets at fair value. The warrants to purchase convertible preferred share are recorded as a liability because the underlying shares of convertible preferred share are contingently redeemable (upon a deemed liquidation event) and, therefore, may obligate the Company to transfer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2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SIGNIFICANT ACCOUNTING POLICIES (Cont.)</w:t>
      </w:r>
    </w:p>
    <w:p>
      <w:pPr>
        <w:spacing w:after="0" w:line="164" w:lineRule="exact"/>
        <w:rPr>
          <w:sz w:val="20"/>
          <w:szCs w:val="20"/>
          <w:color w:val="auto"/>
        </w:rPr>
      </w:pPr>
    </w:p>
    <w:p>
      <w:pPr>
        <w:jc w:val="both"/>
        <w:ind w:left="920" w:right="20"/>
        <w:spacing w:after="0" w:line="256" w:lineRule="auto"/>
        <w:rPr>
          <w:sz w:val="20"/>
          <w:szCs w:val="20"/>
          <w:color w:val="auto"/>
        </w:rPr>
      </w:pPr>
      <w:r>
        <w:rPr>
          <w:rFonts w:ascii="Arial" w:cs="Arial" w:eastAsia="Arial" w:hAnsi="Arial"/>
          <w:sz w:val="18"/>
          <w:szCs w:val="18"/>
          <w:color w:val="auto"/>
        </w:rPr>
        <w:t>assets at some point in the future. The warrants are subject to re-measurement to fair value at each balance sheet date and any change in fair value is recognized as a component of financial income (expense), net, on the statements of operations. The Company will continue to adjust the liability for changes in fair value until the earlier of the exercise or expiration of the warrants, the completion of a deemed liquidation event or the conversion of convertible preferred share into ordinary share (See Note 10).</w:t>
      </w:r>
    </w:p>
    <w:p>
      <w:pPr>
        <w:spacing w:after="0" w:line="62"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Warranty:</w:t>
      </w:r>
    </w:p>
    <w:p>
      <w:pPr>
        <w:spacing w:after="0" w:line="90"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The Company provides a two-year standard warranty for its products. The Company records a provision for the estimated cost to repair or replace products under warranty at the time of sale. Factors that affect the Company’s warranty reserve include the number of units sold, historical and anticipated rates of warranty repairs and the cost per repair.</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periodically assesses the adequacy of its recorded warranty liabilities and adjusts the amounts as necessary.</w:t>
      </w:r>
    </w:p>
    <w:p>
      <w:pPr>
        <w:spacing w:after="0" w:line="90"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As of December 31, 2012 and 2013 and June 30, 2014 (unaudited), the provision for warranty amounted to $131, $170 and $218, respectively, and was presented under other liabilities.</w:t>
      </w:r>
    </w:p>
    <w:p>
      <w:pPr>
        <w:spacing w:after="0" w:line="51"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90"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trade receivables.</w:t>
      </w:r>
    </w:p>
    <w:p>
      <w:pPr>
        <w:spacing w:after="0" w:line="51"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The Company’s cash and cash equivalents are invested in major banks in Israel, the United States and Germany. Such deposits in the United States may be in excess of insured limits and are not insured in other jurisdictions. The Company maintains cash and cash equivalents with diverse financial institutions and monitors the amount of credit exposure to each financial institution.</w:t>
      </w:r>
    </w:p>
    <w:p>
      <w:pPr>
        <w:spacing w:after="0" w:line="59" w:lineRule="exact"/>
        <w:rPr>
          <w:sz w:val="20"/>
          <w:szCs w:val="20"/>
          <w:color w:val="auto"/>
        </w:rPr>
      </w:pPr>
    </w:p>
    <w:p>
      <w:pPr>
        <w:ind w:left="920" w:right="80"/>
        <w:spacing w:after="0" w:line="294" w:lineRule="auto"/>
        <w:rPr>
          <w:sz w:val="20"/>
          <w:szCs w:val="20"/>
          <w:color w:val="auto"/>
        </w:rPr>
      </w:pPr>
      <w:r>
        <w:rPr>
          <w:rFonts w:ascii="Arial" w:cs="Arial" w:eastAsia="Arial" w:hAnsi="Arial"/>
          <w:sz w:val="16"/>
          <w:szCs w:val="16"/>
          <w:color w:val="auto"/>
        </w:rPr>
        <w:t>The Company’s trade receivables are geographically diversified and derived primarily from sales to customers in various countries, mainly in the United States and Europe. Concentration of credit risk with respect to trade receivables is limited by credit limits, ongoing credit evaluation and account monitoring procedures. The Company performs ongoing credit evaluations of its distributors based upon a specific review of all significant outstanding invoices. The Company writes off receivables when they are deemed uncollectible and having exhausted all collection efforts. As of December 31, 2012 and 2013 and June 30, 2014 (unaudited), the Company did not record any allowance for doubtful accounts.</w:t>
      </w:r>
    </w:p>
    <w:p>
      <w:pPr>
        <w:spacing w:after="0" w:line="35"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Accrued Severance Pay:</w:t>
      </w:r>
    </w:p>
    <w:p>
      <w:pPr>
        <w:spacing w:after="0" w:line="90"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Pursuant to Israel’s Severance Pay Law, Israeli employees are entitled to severance pay equal to one month’s salary for each year of employment, or a portion thereof. All of the employees of the RRL (except for one employee as mentioned below) elected to be included under section 14 of the Severance Pay Law, 1963 (“section 14”). According to this section, these employees are entitled only to monthly deposits, at a rate of 8.33% of their monthly salary, made in their name with insurance companies. Payments in accordance with section 14 release the Company from any future severance payments (under the above Israeli Severance Pay Law) in respect of those employees; therefore, related assets and liabilities are not presented in the balance sheet.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2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SIGNIFICANT ACCOUNTING POLICIES (Cont.)</w:t>
      </w:r>
    </w:p>
    <w:p>
      <w:pPr>
        <w:spacing w:after="0" w:line="164"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One employee of RRL has not elected to be included under section 14. As such, RRL has a liability for severance pay pursuant to Israeli law, based on the most recent monthly salary of the employee multiplied by the number of years of employment as of the balance sheet date. RRL liability is provided for by monthly accrual and deposits with severance pay funds and insurance policies.</w:t>
      </w:r>
    </w:p>
    <w:p>
      <w:pPr>
        <w:spacing w:after="0" w:line="59"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Israel’s Severance Pay Law or labor agreements.</w:t>
      </w:r>
    </w:p>
    <w:p>
      <w:pPr>
        <w:spacing w:after="0" w:line="51"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Total Company expenses related to severance pay amounted to $89, $126 and $86 for the years ended December 31, 2012 and 2013 and for the six month period ended June 30, 2014 (unaudited), respectively.</w:t>
      </w:r>
    </w:p>
    <w:p>
      <w:pPr>
        <w:spacing w:after="0" w:line="5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90" w:lineRule="exact"/>
        <w:rPr>
          <w:sz w:val="20"/>
          <w:szCs w:val="20"/>
          <w:color w:val="auto"/>
        </w:rPr>
      </w:pPr>
    </w:p>
    <w:p>
      <w:pPr>
        <w:ind w:left="920" w:right="400"/>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w:t>
      </w:r>
    </w:p>
    <w:p>
      <w:pPr>
        <w:spacing w:after="0" w:line="59"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A three tier fair value hierarchy is established as a basis for considering such assumptions and for inputs used in the valuation methodologies in measuring fair value:</w:t>
      </w:r>
    </w:p>
    <w:p>
      <w:pPr>
        <w:spacing w:after="0" w:line="51" w:lineRule="exact"/>
        <w:rPr>
          <w:sz w:val="20"/>
          <w:szCs w:val="20"/>
          <w:color w:val="auto"/>
        </w:rPr>
      </w:pPr>
    </w:p>
    <w:p>
      <w:pPr>
        <w:ind w:left="1040"/>
        <w:spacing w:after="0"/>
        <w:tabs>
          <w:tab w:leader="none" w:pos="20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that reflect quoted prices (unadjusted) for identical assets or liabilities in active markets.</w:t>
      </w:r>
    </w:p>
    <w:p>
      <w:pPr>
        <w:spacing w:after="0" w:line="117" w:lineRule="exact"/>
        <w:rPr>
          <w:sz w:val="20"/>
          <w:szCs w:val="20"/>
          <w:color w:val="auto"/>
        </w:rPr>
      </w:pPr>
    </w:p>
    <w:p>
      <w:pPr>
        <w:ind w:left="1040"/>
        <w:spacing w:after="0"/>
        <w:tabs>
          <w:tab w:leader="none" w:pos="206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Include other inputs that are directly or indirectly observable in the marketplace.</w:t>
      </w:r>
    </w:p>
    <w:p>
      <w:pPr>
        <w:spacing w:after="0" w:line="117" w:lineRule="exact"/>
        <w:rPr>
          <w:sz w:val="20"/>
          <w:szCs w:val="20"/>
          <w:color w:val="auto"/>
        </w:rPr>
      </w:pPr>
    </w:p>
    <w:p>
      <w:pPr>
        <w:ind w:left="2080" w:hanging="1025"/>
        <w:spacing w:after="0" w:line="332" w:lineRule="auto"/>
        <w:tabs>
          <w:tab w:leader="none" w:pos="206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Unobservable inputs which are supported by little or no market activity. The fair value hierarchy also requires an entity to maximize the use of observable inputs and minimize the use of unobservable inputs when measuring fair value.</w:t>
      </w:r>
    </w:p>
    <w:p>
      <w:pPr>
        <w:spacing w:after="0" w:line="4"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The carrying amounts of cash and cash equivalents, restricted cash, trade receivable and trade payables approximate their fair value due to the short-term maturity of such instruments.</w:t>
      </w:r>
    </w:p>
    <w:p>
      <w:pPr>
        <w:spacing w:after="0" w:line="51"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90"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ordinary shares outstanding during the period.</w:t>
      </w:r>
    </w:p>
    <w:p>
      <w:pPr>
        <w:spacing w:after="0" w:line="51"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Diluted net loss per share is computed by giving effect to all potential shares of ordinary shares, including stock options, convertible preferred share warrants, to the extent dilutive, all in accordance with ASC No. 260, “Earning Per Share”.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60"/>
          </w:cols>
          <w:pgMar w:left="240" w:top="459" w:right="2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SIGNIFICANT ACCOUNTING POLICIES (Cont.)</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computation of the Company’s basic and diluted net loss per Ordinary share:</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Unaudited</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(12,177)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Convertible Preferred Shares dividend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(13,840)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0"/>
              </w:rPr>
              <w:t>Shares used in computing net loss per Ordinary shares, basic and diluted</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185,688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185,688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185,688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187,398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Ordinary share, basic and diluted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Basic and diluted net loss per share was the same for each period presented as the inclusion of all potential shares of ordinary shares outstanding would have been anti-dilutive.</w:t>
      </w:r>
    </w:p>
    <w:p>
      <w:pPr>
        <w:spacing w:after="0" w:line="51"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Contingent liabilities</w:t>
      </w:r>
    </w:p>
    <w:p>
      <w:pPr>
        <w:spacing w:after="0" w:line="90" w:lineRule="exact"/>
        <w:rPr>
          <w:sz w:val="20"/>
          <w:szCs w:val="20"/>
          <w:color w:val="auto"/>
        </w:rPr>
      </w:pPr>
    </w:p>
    <w:p>
      <w:pPr>
        <w:ind w:left="920" w:right="440"/>
        <w:spacing w:after="0" w:line="268" w:lineRule="auto"/>
        <w:rPr>
          <w:sz w:val="20"/>
          <w:szCs w:val="20"/>
          <w:color w:val="auto"/>
        </w:rPr>
      </w:pPr>
      <w:r>
        <w:rPr>
          <w:rFonts w:ascii="Arial" w:cs="Arial" w:eastAsia="Arial" w:hAnsi="Arial"/>
          <w:sz w:val="18"/>
          <w:szCs w:val="18"/>
          <w:color w:val="auto"/>
        </w:rPr>
        <w:t>The Company accounts for its contingent liabilities in accordance with ASC No. 450, “Contingencies”. A provision is recorded when it is both probable that a liability has been incurred and the amount of the loss can be reasonably estimated.</w:t>
      </w:r>
    </w:p>
    <w:p>
      <w:pPr>
        <w:spacing w:after="0" w:line="51"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With respect to legal matters, provisions are reviewed and adjusted to reflect the impact of negotiations, estimated settlements, legal rulings, advice of legal counsel and other information and events pertaining to a particular matter. As of December 31, 2012 and 2013, the Company is not a party to any ligation that could have a material adverse effect on the Company’s business, financial position, results of operations or cash flows.</w:t>
      </w:r>
    </w:p>
    <w:p>
      <w:pPr>
        <w:spacing w:after="0" w:line="26"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Government grants</w:t>
      </w:r>
    </w:p>
    <w:p>
      <w:pPr>
        <w:spacing w:after="0" w:line="90"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Government grants received by the Company relating to categories of operating expenditures are credited to the consolidated statements of income during the period in which the expenditure to which they relate is charged. Royalty and non-royalty-bearing grants from the Israeli Office of the Chief Scientist (“OCS”), from the Israel-U.S. Binational Industrial Research and Development Foundation (“BIRD”) and from the Israeli Fund for Promoting Overseas Marketing for funding certain approved research and development projects and sales and marketing activities are recognized at the time when the Company is entitled to such grants, on the basis of the related costs incurred, and are included as a deduction from research and development or sales and marketing expenses (see Note 7b).</w:t>
      </w:r>
    </w:p>
    <w:p>
      <w:pPr>
        <w:spacing w:after="0" w:line="39"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The Company recorded non-royalty-bearing grants in the amount of $45 and $101 for the years ended December 31, 2012 and 2013, respectively, as part of the sales and marketing expenses.</w:t>
      </w:r>
    </w:p>
    <w:p>
      <w:pPr>
        <w:spacing w:after="0" w:line="51"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Company recorded royalty expenses in the amount of $40, $136 and $59 for the years ended December 31, 2012 and 2013 and for the six month period ended June 30, 2014 (unaudited), respectively, as part of the cost of revenues.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2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6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PREPAID EXPENSES AND OTHER CURRENT ASSETS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3"/>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w w:val="98"/>
              </w:rPr>
              <w:t>December 31,</w:t>
            </w:r>
          </w:p>
        </w:tc>
        <w:tc>
          <w:tcPr>
            <w:tcW w:w="500" w:type="dxa"/>
            <w:vAlign w:val="bottom"/>
          </w:tcPr>
          <w:p>
            <w:pPr>
              <w:spacing w:after="0"/>
              <w:rPr>
                <w:sz w:val="24"/>
                <w:szCs w:val="2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80" w:type="dxa"/>
            <w:vAlign w:val="bottom"/>
          </w:tcPr>
          <w:p>
            <w:pPr>
              <w:spacing w:after="0"/>
              <w:rPr>
                <w:sz w:val="12"/>
                <w:szCs w:val="12"/>
                <w:color w:val="auto"/>
              </w:rPr>
            </w:pPr>
          </w:p>
        </w:tc>
      </w:tr>
      <w:tr>
        <w:trPr>
          <w:trHeight w:val="88"/>
        </w:trPr>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Advances to suppliers</w:t>
            </w:r>
          </w:p>
        </w:tc>
        <w:tc>
          <w:tcPr>
            <w:tcW w:w="80" w:type="dxa"/>
            <w:vAlign w:val="bottom"/>
          </w:tcPr>
          <w:p>
            <w:pPr>
              <w:spacing w:after="0"/>
              <w:rPr>
                <w:sz w:val="18"/>
                <w:szCs w:val="18"/>
                <w:color w:val="auto"/>
              </w:rPr>
            </w:pPr>
          </w:p>
        </w:tc>
        <w:tc>
          <w:tcPr>
            <w:tcW w:w="280" w:type="dxa"/>
            <w:vAlign w:val="bottom"/>
          </w:tcPr>
          <w:p>
            <w:pPr>
              <w:jc w:val="right"/>
              <w:ind w:right="15"/>
              <w:spacing w:after="0"/>
              <w:rPr>
                <w:sz w:val="20"/>
                <w:szCs w:val="20"/>
                <w:color w:val="auto"/>
              </w:rPr>
            </w:pPr>
            <w:r>
              <w:rPr>
                <w:rFonts w:ascii="Arial" w:cs="Arial" w:eastAsia="Arial" w:hAnsi="Arial"/>
                <w:sz w:val="18"/>
                <w:szCs w:val="18"/>
                <w:color w:val="auto"/>
                <w:w w:val="88"/>
              </w:rPr>
              <w:t>—</w:t>
            </w: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Deposit</w:t>
            </w:r>
          </w:p>
        </w:tc>
        <w:tc>
          <w:tcPr>
            <w:tcW w:w="80" w:type="dxa"/>
            <w:vAlign w:val="bottom"/>
          </w:tcPr>
          <w:p>
            <w:pPr>
              <w:spacing w:after="0"/>
              <w:rPr>
                <w:sz w:val="18"/>
                <w:szCs w:val="18"/>
                <w:color w:val="auto"/>
              </w:rPr>
            </w:pPr>
          </w:p>
        </w:tc>
        <w:tc>
          <w:tcPr>
            <w:tcW w:w="280" w:type="dxa"/>
            <w:vAlign w:val="bottom"/>
          </w:tcPr>
          <w:p>
            <w:pPr>
              <w:jc w:val="right"/>
              <w:ind w:right="15"/>
              <w:spacing w:after="0"/>
              <w:rPr>
                <w:sz w:val="20"/>
                <w:szCs w:val="20"/>
                <w:color w:val="auto"/>
              </w:rPr>
            </w:pPr>
            <w:r>
              <w:rPr>
                <w:rFonts w:ascii="Arial" w:cs="Arial" w:eastAsia="Arial" w:hAnsi="Arial"/>
                <w:sz w:val="18"/>
                <w:szCs w:val="18"/>
                <w:color w:val="auto"/>
                <w:w w:val="88"/>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Contract manufacturer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115"/>
        </w:trPr>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469</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8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6660" w:type="dxa"/>
            <w:vAlign w:val="bottom"/>
            <w:gridSpan w:val="2"/>
          </w:tcPr>
          <w:p>
            <w:pPr>
              <w:ind w:left="200"/>
              <w:spacing w:after="0"/>
              <w:rPr>
                <w:sz w:val="20"/>
                <w:szCs w:val="20"/>
                <w:color w:val="auto"/>
              </w:rPr>
            </w:pPr>
            <w:r>
              <w:rPr>
                <w:rFonts w:ascii="Arial" w:cs="Arial" w:eastAsia="Arial" w:hAnsi="Arial"/>
                <w:sz w:val="18"/>
                <w:szCs w:val="18"/>
                <w:b w:val="1"/>
                <w:bCs w:val="1"/>
                <w:color w:val="auto"/>
              </w:rPr>
              <w:t>INVENTORIES</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3"/>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Unaudited</w:t>
            </w:r>
          </w:p>
        </w:tc>
        <w:tc>
          <w:tcPr>
            <w:tcW w:w="80" w:type="dxa"/>
            <w:vAlign w:val="bottom"/>
          </w:tcPr>
          <w:p>
            <w:pPr>
              <w:spacing w:after="0"/>
              <w:rPr>
                <w:sz w:val="12"/>
                <w:szCs w:val="12"/>
                <w:color w:val="auto"/>
              </w:rPr>
            </w:pPr>
          </w:p>
        </w:tc>
      </w:tr>
      <w:tr>
        <w:trPr>
          <w:trHeight w:val="88"/>
        </w:trPr>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$502</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Finished products</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r>
      <w:tr>
        <w:trPr>
          <w:trHeight w:val="115"/>
        </w:trPr>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560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666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3"/>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80" w:type="dxa"/>
            <w:vAlign w:val="bottom"/>
            <w:tcBorders>
              <w:bottom w:val="single" w:sz="8" w:color="CCEEFF"/>
            </w:tcBorders>
          </w:tcPr>
          <w:p>
            <w:pPr>
              <w:spacing w:after="0"/>
              <w:rPr>
                <w:sz w:val="12"/>
                <w:szCs w:val="12"/>
                <w:color w:val="auto"/>
              </w:rPr>
            </w:pPr>
          </w:p>
        </w:tc>
      </w:tr>
      <w:tr>
        <w:trPr>
          <w:trHeight w:val="196"/>
        </w:trPr>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Computer equipment</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$147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$250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Machinery and laboratory equipment</w:t>
            </w:r>
          </w:p>
        </w:tc>
        <w:tc>
          <w:tcPr>
            <w:tcW w:w="360" w:type="dxa"/>
            <w:vAlign w:val="bottom"/>
          </w:tcPr>
          <w:p>
            <w:pPr>
              <w:jc w:val="right"/>
              <w:spacing w:after="0"/>
              <w:rPr>
                <w:sz w:val="20"/>
                <w:szCs w:val="20"/>
                <w:color w:val="auto"/>
              </w:rPr>
            </w:pPr>
            <w:r>
              <w:rPr>
                <w:rFonts w:ascii="Arial" w:cs="Arial" w:eastAsia="Arial" w:hAnsi="Arial"/>
                <w:sz w:val="18"/>
                <w:szCs w:val="18"/>
                <w:color w:val="auto"/>
              </w:rPr>
              <w:t>170</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r>
      <w:tr>
        <w:trPr>
          <w:trHeight w:val="330"/>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393</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24"/>
                <w:szCs w:val="24"/>
                <w:color w:val="auto"/>
              </w:rPr>
            </w:pPr>
          </w:p>
        </w:tc>
      </w:tr>
      <w:tr>
        <w:trPr>
          <w:trHeight w:val="116"/>
        </w:trPr>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r>
      <w:tr>
        <w:trPr>
          <w:trHeight w:val="330"/>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261</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Depreciation expenses amounted to $ 61, $ 92, $ 36 and $ 51, for the years ended December 31, 2012 and 2013 and for the six month period ended June 30, 2013 and 2014 (unaudited), respectively.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60"/>
          </w:cols>
          <w:pgMar w:left="240" w:top="459" w:right="3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SHORT TERM CONVERTIBLE LOANS</w:t>
      </w:r>
    </w:p>
    <w:p>
      <w:pPr>
        <w:spacing w:after="0" w:line="123"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In October 2011, the Company entered into several convertible loans agreements with certain existing shareholders and unrelated parties in an aggregate principal amount of $ 1 million with such loans bearing annual interest of 7%. Upon the second closing of the Series C Transaction, the above convertible loans were converted into 9,612 convertible preferred C shares on January 31, 2012 at a price per share of $105.815. A total amount of $1,017 of the above convertible loans was converted into series C convertible preferred share and was classified to additional paid-in capital in shareholders’ equity (deficiency).</w:t>
      </w:r>
    </w:p>
    <w:p>
      <w:pPr>
        <w:spacing w:after="0" w:line="116" w:lineRule="exact"/>
        <w:rPr>
          <w:sz w:val="20"/>
          <w:szCs w:val="20"/>
          <w:color w:val="auto"/>
        </w:rPr>
      </w:pPr>
    </w:p>
    <w:p>
      <w:pPr>
        <w:ind w:left="460"/>
        <w:spacing w:after="0" w:line="302" w:lineRule="auto"/>
        <w:rPr>
          <w:sz w:val="20"/>
          <w:szCs w:val="20"/>
          <w:color w:val="auto"/>
        </w:rPr>
      </w:pPr>
      <w:r>
        <w:rPr>
          <w:rFonts w:ascii="Arial" w:cs="Arial" w:eastAsia="Arial" w:hAnsi="Arial"/>
          <w:sz w:val="15"/>
          <w:szCs w:val="15"/>
          <w:color w:val="auto"/>
        </w:rPr>
        <w:t>In December 2012, certain of the Company’s existing shareholders signed an agreement to make several convertible loans in an aggregate principal amount of $1.5 million with such loans bearing annual interest of 7%. The convertible loans were made during December 2012 and January 2013. Under the loan agreements, the convertible loan amount and accrued interest will be repaid by the Company to each lender (in proportion to its portion of the principal amount), on December 31, 2013, unless earlier there is a closing of an investment by any investor(s), the convertible loan amount shall be automatically converted into ordinary shares of the Company at a price per share equal to the price per share paid by the investors, reduced by a percentage equal to</w:t>
      </w:r>
    </w:p>
    <w:p>
      <w:pPr>
        <w:spacing w:after="0" w:line="2" w:lineRule="exact"/>
        <w:rPr>
          <w:sz w:val="20"/>
          <w:szCs w:val="20"/>
          <w:color w:val="auto"/>
        </w:rPr>
      </w:pPr>
    </w:p>
    <w:p>
      <w:pPr>
        <w:ind w:left="460" w:right="180"/>
        <w:spacing w:after="0" w:line="261" w:lineRule="auto"/>
        <w:rPr>
          <w:sz w:val="20"/>
          <w:szCs w:val="20"/>
          <w:color w:val="auto"/>
        </w:rPr>
      </w:pPr>
      <w:r>
        <w:rPr>
          <w:rFonts w:ascii="Arial" w:cs="Arial" w:eastAsia="Arial" w:hAnsi="Arial"/>
          <w:sz w:val="18"/>
          <w:szCs w:val="18"/>
          <w:color w:val="auto"/>
        </w:rPr>
        <w:t>0.167% multiplied by the number of days elapsed from the date of the disbursement of the principal amount by the applicable lender until the conversion date. In no event will the discount exceed 20%.</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the fair value of the convertible loans amounted to $682.</w:t>
      </w:r>
    </w:p>
    <w:p>
      <w:pPr>
        <w:spacing w:after="0" w:line="144"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color w:val="auto"/>
        </w:rPr>
        <w:t>During the period between April and June 2013, a number of the Company’s shareholders and a new investor made additional convertible loans (with the same terms and conditions as the above mentioned convertible loans) in an aggregate principal amount of $6.23 million.</w:t>
      </w:r>
    </w:p>
    <w:p>
      <w:pPr>
        <w:spacing w:after="0" w:line="31"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The Company recorded the convertible loans as a liability in accordance with ASC No. 480, “Distinguishing Liabilities from Equity” (“ASC 480”) as the predominant scenario of the convertible loans embodies an obligation to issue variable number of shares that at inception represents a fixed monitory amount. The fair value is measured at each respective balance sheet date.</w:t>
      </w:r>
    </w:p>
    <w:p>
      <w:pPr>
        <w:spacing w:after="0" w:line="86"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Upon the closing of the Series D Transaction, on September 24, 2013, all the above convertible loans were converted into 81,677 convertible preferred D shares at a price per share of $96.8—$103 (which reflects 14.9%-20% discount rate) in accordance with the series D convertible preferred share purchase agreement. The total amount of convertible loans converted (including accrued interest and revaluation financial expenses) was $9,896, which was classified to additional paid-in capital in shareholders’ equity (deficiency).</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expenses related to convertible loans amounted to $6 and $2,166 in the years ended December 31, 2012 and 2013, respectively.</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COMMITMENTS AND CONTINGENT LIABILITIES</w:t>
      </w:r>
    </w:p>
    <w:p>
      <w:pPr>
        <w:spacing w:after="0" w:line="164"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144"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The Company rents its facilities in all locations under operating leases with lease periods expiring in 2014-2015. RRL and AMG leases cars for its employees under operating lease agreements expiring at various dates in 2016.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COMMITMENTS AND CONTINGENT LIABILITIES (Cont.)</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Aggregate minimum rental commitments under non-cancelable leases as of June 30, 2014 (unaudited) for the upcoming years were as follows: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92"/>
              <w:spacing w:after="0"/>
              <w:rPr>
                <w:sz w:val="20"/>
                <w:szCs w:val="20"/>
                <w:color w:val="auto"/>
              </w:rPr>
            </w:pPr>
            <w:r>
              <w:rPr>
                <w:rFonts w:ascii="Arial" w:cs="Arial" w:eastAsia="Arial" w:hAnsi="Arial"/>
                <w:sz w:val="18"/>
                <w:szCs w:val="18"/>
                <w:color w:val="auto"/>
                <w:w w:val="79"/>
              </w:rPr>
              <w:t>2014</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jc w:val="right"/>
              <w:ind w:right="3392"/>
              <w:spacing w:after="0"/>
              <w:rPr>
                <w:sz w:val="20"/>
                <w:szCs w:val="20"/>
                <w:color w:val="auto"/>
              </w:rPr>
            </w:pPr>
            <w:r>
              <w:rPr>
                <w:rFonts w:ascii="Arial" w:cs="Arial" w:eastAsia="Arial" w:hAnsi="Arial"/>
                <w:sz w:val="18"/>
                <w:szCs w:val="18"/>
                <w:color w:val="auto"/>
                <w:w w:val="79"/>
              </w:rPr>
              <w:t>2015</w:t>
            </w:r>
          </w:p>
        </w:tc>
        <w:tc>
          <w:tcPr>
            <w:tcW w:w="3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115"/>
        </w:trPr>
        <w:tc>
          <w:tcPr>
            <w:tcW w:w="38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38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w:t>
            </w:r>
          </w:p>
        </w:tc>
        <w:tc>
          <w:tcPr>
            <w:tcW w:w="10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Total rent expenses for the years ended December 31, 2012 and 2013 and for the six month period ended June 30, 2013 and 2014 (unaudited) were $116, $156, $77 and $82, respectively.</w:t>
      </w:r>
    </w:p>
    <w:p>
      <w:pPr>
        <w:spacing w:after="0" w:line="78" w:lineRule="exact"/>
        <w:rPr>
          <w:sz w:val="20"/>
          <w:szCs w:val="20"/>
          <w:color w:val="auto"/>
        </w:rPr>
      </w:pPr>
    </w:p>
    <w:p>
      <w:pPr>
        <w:ind w:left="920" w:right="720"/>
        <w:spacing w:after="0" w:line="332" w:lineRule="auto"/>
        <w:rPr>
          <w:sz w:val="20"/>
          <w:szCs w:val="20"/>
          <w:color w:val="auto"/>
        </w:rPr>
      </w:pPr>
      <w:r>
        <w:rPr>
          <w:rFonts w:ascii="Arial" w:cs="Arial" w:eastAsia="Arial" w:hAnsi="Arial"/>
          <w:sz w:val="16"/>
          <w:szCs w:val="16"/>
          <w:color w:val="auto"/>
        </w:rPr>
        <w:t>RRL and AMG leases motor vehicles under cancelable operating lease agreements. RRL and AMG have an option to be released from this agreement, which may result in penalties in a maximum amount of approximately $ 30 as of June 30, 2014 (unaudited).</w:t>
      </w:r>
    </w:p>
    <w:p>
      <w:pPr>
        <w:spacing w:after="0" w:line="45"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Royalties:</w:t>
      </w:r>
    </w:p>
    <w:p>
      <w:pPr>
        <w:spacing w:after="0" w:line="117" w:lineRule="exact"/>
        <w:rPr>
          <w:sz w:val="20"/>
          <w:szCs w:val="20"/>
          <w:color w:val="auto"/>
        </w:rPr>
      </w:pPr>
    </w:p>
    <w:p>
      <w:pPr>
        <w:ind w:left="920" w:right="60"/>
        <w:spacing w:after="0" w:line="289" w:lineRule="auto"/>
        <w:rPr>
          <w:sz w:val="20"/>
          <w:szCs w:val="20"/>
          <w:color w:val="auto"/>
        </w:rPr>
      </w:pPr>
      <w:r>
        <w:rPr>
          <w:rFonts w:ascii="Arial" w:cs="Arial" w:eastAsia="Arial" w:hAnsi="Arial"/>
          <w:sz w:val="16"/>
          <w:szCs w:val="16"/>
          <w:color w:val="auto"/>
        </w:rPr>
        <w:t>The Company’s research and development efforts are financed, in part, through funding from the OCS and BIRD. Since the Company’s inception through June 30, 2014 (unaudited), the Company received funding from the OCS in the total amount of $450 and from BIRD in the total amount of $500. Out of the $450 in funding from the OCS, a total amount of $50 were royalty bearing grants, while a total amount of $400 was received in consideration of 5,237 convertible preferred A shares. The Company is obligated to pay royalties to the OCS, amounting to 3%-3.5% of the sales of the products and other related revenues generated from such projects, up to 100% of the grants received. The royalty payment obligations also bear interest at the LIBOR rate. The obligation to pay these royalties is contingent on actual sales of the applicable products and in the absence of such sales, no payment is required. The Company is obligated to pay royalties to the BIRD amounting to 5% of the sales of the products and other related revenues generated from such projects, up to 150% of the grants received.</w:t>
      </w:r>
    </w:p>
    <w:p>
      <w:pPr>
        <w:spacing w:after="0" w:line="64"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As of June 30, 2014 (unaudited), the aggregate contingent liability to the OCS and to the BIRD amounted to $0 and $734, respectively. The Israeli Research and Development Law provides that know-how developed under an approved research and development program may not be transferred to third parties without the approval of the OCS. Such approval is not required for the sale or export of any products resulting from such research or development. The OCS, under special circumstances, may approve the transfer of OCS-funded know-how outside Israel, in the following cases:</w:t>
      </w:r>
    </w:p>
    <w:p>
      <w:pPr>
        <w:spacing w:after="0" w:line="59" w:lineRule="exact"/>
        <w:rPr>
          <w:sz w:val="20"/>
          <w:szCs w:val="20"/>
          <w:color w:val="auto"/>
        </w:rPr>
      </w:pPr>
    </w:p>
    <w:p>
      <w:pPr>
        <w:ind w:left="920" w:firstLine="1"/>
        <w:spacing w:after="0" w:line="283" w:lineRule="auto"/>
        <w:tabs>
          <w:tab w:leader="none" w:pos="115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grant recipient pays to the OCS a portion of the sale price paid in consideration for such OCS-funded know-how or in consideration for the sale of the grant recipient itself, as the case may be, which portion will not exceed six times the amount of the grants received plus interest (or three times the amount of the grant received plus interest, in the event that the recipient of the know-how has committed to retain the R&amp;D activities of the grant recipient in Israel after the transfer); (b) the grant recipient receives know-how from a third party in exchange for its OCS-funded know-how;</w:t>
      </w:r>
    </w:p>
    <w:p>
      <w:pPr>
        <w:spacing w:after="0" w:line="2" w:lineRule="exact"/>
        <w:rPr>
          <w:rFonts w:ascii="Arial" w:cs="Arial" w:eastAsia="Arial" w:hAnsi="Arial"/>
          <w:sz w:val="16"/>
          <w:szCs w:val="16"/>
          <w:color w:val="auto"/>
        </w:rPr>
      </w:pPr>
    </w:p>
    <w:p>
      <w:pPr>
        <w:ind w:left="920" w:right="260" w:firstLine="1"/>
        <w:spacing w:after="0" w:line="323" w:lineRule="auto"/>
        <w:tabs>
          <w:tab w:leader="none" w:pos="115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such transfer of OCS-funded know-how arises in connection with certain types of cooperation in research and development activities; or (d) if such transfer of know-how arises in connection with a liquidation by reason of insolvency or receivership of the grant recipient.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2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COMMITMENTS AND CONTINGENT LIABILITIES (Cont.)</w:t>
      </w:r>
    </w:p>
    <w:p>
      <w:pPr>
        <w:spacing w:after="0" w:line="164"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Legal Claims:</w:t>
      </w:r>
    </w:p>
    <w:p>
      <w:pPr>
        <w:spacing w:after="0" w:line="117" w:lineRule="exact"/>
        <w:rPr>
          <w:sz w:val="20"/>
          <w:szCs w:val="20"/>
          <w:color w:val="auto"/>
        </w:rPr>
      </w:pPr>
    </w:p>
    <w:p>
      <w:pPr>
        <w:ind w:left="920"/>
        <w:spacing w:after="0" w:line="312" w:lineRule="auto"/>
        <w:rPr>
          <w:sz w:val="20"/>
          <w:szCs w:val="20"/>
          <w:color w:val="auto"/>
        </w:rPr>
      </w:pPr>
      <w:r>
        <w:rPr>
          <w:rFonts w:ascii="Arial" w:cs="Arial" w:eastAsia="Arial" w:hAnsi="Arial"/>
          <w:sz w:val="15"/>
          <w:szCs w:val="15"/>
          <w:color w:val="auto"/>
        </w:rPr>
        <w:t>In September 2013, a claim was filed against the Company and the University of Utah Hospital and Medical Center (UUHMC) in the Third Judicial District Court for the County of Salt Lake, State of Utah, in connection with allegations made by a ReWalk user who was injured while using ReWalk. The plaintiff claims that in April 2013 the ReWalk malfunctioned while transitioning from sitting to standing mode and is seeking damages totaling $2.9 million from the Company and UUHMC for an injury she alleges was caused by such malfunction. The Company believes that it has valid defenses to the claim. The Company is currently engaged in discovery with respect to this matter. The Company accrued an amount in respect of the reasonably estimable probable losses from this claim. Nevertheless, the Company does not believe that the legal proceeding, if adversely decided against the Company, will have a material adverse effect on the Company’s business, financial position, results of operations or cash flows.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FAIR VALUE MEASUREMENTS</w:t>
      </w:r>
    </w:p>
    <w:p>
      <w:pPr>
        <w:spacing w:after="0" w:line="96"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Financial instruments measured at fair value on a recurring basis include warrants for convertible preferred share. The warrants are classified as a liability in accordance with ASC 480 (see Note 10). These warrants were classified as level 3 in the fair value hierarchy since some of the inputs used in the valuation were determined based on management’s assumptions. The fair value of the warrants on the issuance date and on subsequent reporting dates was determined using OPM utilizing the assumptions noted below. The fair value of the underlying preferred share price was determined by the board of directors considering, among others, third party valuations. The valuation of the Company was performed using a DCF model. The OPM method was then employed to allocate the enterprise value among the Company’s various equity classes, deriving a fully marketable value per share for the preferred share. The expected terms of the warrants were based on the remaining contractual expiration period. The expected share price volatility for the shares was determined by examining the historical volatilities of a group of the Company’s industry peers as there is no trading history of the Company’s shares. The risk-free interest rate was calculated using the average of the published interest rates for U.S. Treasury zero-coupon issues with maturities that approximate the expected term. The dividend yield assumption was zero as there is no history of dividend payments.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to estimate the value of the warrants to purchase series C convertible preferred share:</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9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0" w:type="dxa"/>
            <w:vAlign w:val="bottom"/>
          </w:tcPr>
          <w:p>
            <w:pPr>
              <w:spacing w:after="0"/>
              <w:rPr>
                <w:sz w:val="12"/>
                <w:szCs w:val="12"/>
                <w:color w:val="auto"/>
              </w:rPr>
            </w:pPr>
          </w:p>
        </w:tc>
      </w:tr>
      <w:tr>
        <w:trPr>
          <w:trHeight w:val="48"/>
        </w:trPr>
        <w:tc>
          <w:tcPr>
            <w:tcW w:w="29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Risk-free rate</w:t>
            </w:r>
          </w:p>
        </w:tc>
        <w:tc>
          <w:tcPr>
            <w:tcW w:w="3820" w:type="dxa"/>
            <w:vAlign w:val="bottom"/>
            <w:gridSpan w:val="3"/>
          </w:tcPr>
          <w:p>
            <w:pPr>
              <w:jc w:val="right"/>
              <w:ind w:right="480"/>
              <w:spacing w:after="0"/>
              <w:rPr>
                <w:sz w:val="20"/>
                <w:szCs w:val="20"/>
                <w:color w:val="auto"/>
              </w:rPr>
            </w:pPr>
            <w:r>
              <w:rPr>
                <w:rFonts w:ascii="Arial" w:cs="Arial" w:eastAsia="Arial" w:hAnsi="Arial"/>
                <w:sz w:val="18"/>
                <w:szCs w:val="18"/>
                <w:color w:val="auto"/>
              </w:rPr>
              <w:t>0.3%</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620" w:type="dxa"/>
            <w:vAlign w:val="bottom"/>
          </w:tcPr>
          <w:p>
            <w:pPr>
              <w:spacing w:after="0"/>
              <w:rPr>
                <w:sz w:val="19"/>
                <w:szCs w:val="19"/>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w w:val="96"/>
              </w:rPr>
              <w:t>1.25</w:t>
            </w:r>
          </w:p>
        </w:tc>
        <w:tc>
          <w:tcPr>
            <w:tcW w:w="620" w:type="dxa"/>
            <w:vAlign w:val="bottom"/>
          </w:tcPr>
          <w:p>
            <w:pPr>
              <w:jc w:val="right"/>
              <w:spacing w:after="0"/>
              <w:rPr>
                <w:sz w:val="20"/>
                <w:szCs w:val="20"/>
                <w:color w:val="auto"/>
              </w:rPr>
            </w:pPr>
            <w:r>
              <w:rPr>
                <w:rFonts w:ascii="Arial" w:cs="Arial" w:eastAsia="Arial" w:hAnsi="Arial"/>
                <w:sz w:val="18"/>
                <w:szCs w:val="18"/>
                <w:color w:val="auto"/>
              </w:rPr>
              <w:t>0.75</w:t>
            </w:r>
          </w:p>
        </w:tc>
        <w:tc>
          <w:tcPr>
            <w:tcW w:w="200" w:type="dxa"/>
            <w:vAlign w:val="bottom"/>
          </w:tcPr>
          <w:p>
            <w:pPr>
              <w:spacing w:after="0"/>
              <w:rPr>
                <w:sz w:val="19"/>
                <w:szCs w:val="19"/>
                <w:color w:val="auto"/>
              </w:rPr>
            </w:pPr>
          </w:p>
        </w:tc>
      </w:tr>
      <w:tr>
        <w:trPr>
          <w:trHeight w:val="356"/>
        </w:trPr>
        <w:tc>
          <w:tcPr>
            <w:tcW w:w="2920" w:type="dxa"/>
            <w:vAlign w:val="bottom"/>
          </w:tcPr>
          <w:p>
            <w:pPr>
              <w:spacing w:after="0"/>
              <w:rPr>
                <w:sz w:val="24"/>
                <w:szCs w:val="24"/>
                <w:color w:val="auto"/>
              </w:rPr>
            </w:pPr>
          </w:p>
        </w:tc>
        <w:tc>
          <w:tcPr>
            <w:tcW w:w="3820" w:type="dxa"/>
            <w:vAlign w:val="bottom"/>
            <w:gridSpan w:val="3"/>
          </w:tcPr>
          <w:p>
            <w:pPr>
              <w:jc w:val="right"/>
              <w:ind w:right="2300"/>
              <w:spacing w:after="0"/>
              <w:rPr>
                <w:sz w:val="20"/>
                <w:szCs w:val="20"/>
                <w:color w:val="auto"/>
              </w:rPr>
            </w:pPr>
            <w:r>
              <w:rPr>
                <w:rFonts w:ascii="Arial" w:cs="Arial" w:eastAsia="Arial" w:hAnsi="Arial"/>
                <w:sz w:val="18"/>
                <w:szCs w:val="18"/>
                <w:color w:val="auto"/>
              </w:rPr>
              <w:t>F-20</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8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FAIR VALUE MEASUREMENTS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to estimate the value of the warrants to purchase series D convertible preferred shares: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September 24,</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2013</w:t>
            </w:r>
          </w:p>
        </w:tc>
        <w:tc>
          <w:tcPr>
            <w:tcW w:w="900" w:type="dxa"/>
            <w:vAlign w:val="bottom"/>
          </w:tcPr>
          <w:p>
            <w:pPr>
              <w:spacing w:after="0"/>
              <w:rPr>
                <w:sz w:val="12"/>
                <w:szCs w:val="12"/>
                <w:color w:val="auto"/>
              </w:rPr>
            </w:pPr>
          </w:p>
        </w:tc>
        <w:tc>
          <w:tcPr>
            <w:tcW w:w="168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4280" w:type="dxa"/>
            <w:vAlign w:val="bottom"/>
          </w:tcPr>
          <w:p>
            <w:pPr>
              <w:spacing w:after="0"/>
              <w:rPr>
                <w:sz w:val="14"/>
                <w:szCs w:val="14"/>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4"/>
              </w:rPr>
              <w:t>(issuance date)</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8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0" w:type="dxa"/>
            <w:vAlign w:val="bottom"/>
          </w:tcPr>
          <w:p>
            <w:pPr>
              <w:spacing w:after="0"/>
              <w:rPr>
                <w:sz w:val="12"/>
                <w:szCs w:val="12"/>
                <w:color w:val="auto"/>
              </w:rPr>
            </w:pPr>
          </w:p>
        </w:tc>
      </w:tr>
      <w:tr>
        <w:trPr>
          <w:trHeight w:val="88"/>
        </w:trPr>
        <w:tc>
          <w:tcPr>
            <w:tcW w:w="4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Risk-free rate</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0.2%</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0.75</w:t>
            </w:r>
          </w:p>
        </w:tc>
        <w:tc>
          <w:tcPr>
            <w:tcW w:w="2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fair value of warrants to purchase convertible preferred shares liability is summarized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Issuance of</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Exercise of</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warrants</w:t>
            </w: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warrants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2"/>
                <w:szCs w:val="12"/>
                <w:color w:val="auto"/>
              </w:rPr>
            </w:pPr>
          </w:p>
        </w:tc>
        <w:tc>
          <w:tcPr>
            <w:tcW w:w="12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4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purchase</w:t>
            </w:r>
          </w:p>
        </w:tc>
        <w:tc>
          <w:tcPr>
            <w:tcW w:w="14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purchase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Change in</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4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preferred</w:t>
            </w:r>
          </w:p>
        </w:tc>
        <w:tc>
          <w:tcPr>
            <w:tcW w:w="14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preferred</w:t>
            </w:r>
          </w:p>
        </w:tc>
        <w:tc>
          <w:tcPr>
            <w:tcW w:w="120" w:type="dxa"/>
            <w:vAlign w:val="bottom"/>
          </w:tcPr>
          <w:p>
            <w:pPr>
              <w:spacing w:after="0"/>
              <w:rPr>
                <w:sz w:val="12"/>
                <w:szCs w:val="12"/>
                <w:color w:val="auto"/>
              </w:rPr>
            </w:pP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9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period</w:t>
            </w:r>
          </w:p>
        </w:tc>
        <w:tc>
          <w:tcPr>
            <w:tcW w:w="120" w:type="dxa"/>
            <w:vAlign w:val="bottom"/>
          </w:tcPr>
          <w:p>
            <w:pPr>
              <w:spacing w:after="0"/>
              <w:rPr>
                <w:sz w:val="14"/>
                <w:szCs w:val="14"/>
                <w:color w:val="auto"/>
              </w:rPr>
            </w:pPr>
          </w:p>
        </w:tc>
        <w:tc>
          <w:tcPr>
            <w:tcW w:w="12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share</w:t>
            </w:r>
          </w:p>
        </w:tc>
        <w:tc>
          <w:tcPr>
            <w:tcW w:w="120" w:type="dxa"/>
            <w:vAlign w:val="bottom"/>
          </w:tcPr>
          <w:p>
            <w:pPr>
              <w:spacing w:after="0"/>
              <w:rPr>
                <w:sz w:val="14"/>
                <w:szCs w:val="14"/>
                <w:color w:val="auto"/>
              </w:rPr>
            </w:pPr>
          </w:p>
        </w:tc>
        <w:tc>
          <w:tcPr>
            <w:tcW w:w="12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share</w:t>
            </w:r>
          </w:p>
        </w:tc>
        <w:tc>
          <w:tcPr>
            <w:tcW w:w="12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December 31, 2013</w:t>
            </w:r>
          </w:p>
        </w:tc>
        <w:tc>
          <w:tcPr>
            <w:tcW w:w="1760" w:type="dxa"/>
            <w:vAlign w:val="bottom"/>
            <w:gridSpan w:val="2"/>
          </w:tcPr>
          <w:p>
            <w:pPr>
              <w:ind w:left="16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2,168</w:t>
            </w:r>
          </w:p>
        </w:tc>
        <w:tc>
          <w:tcPr>
            <w:tcW w:w="7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7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June 30, 2014 (unaudited)</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F-21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8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 (DEFICIENCY)</w:t>
      </w:r>
    </w:p>
    <w:p>
      <w:pPr>
        <w:spacing w:after="0" w:line="137" w:lineRule="exact"/>
        <w:rPr>
          <w:sz w:val="20"/>
          <w:szCs w:val="20"/>
          <w:color w:val="auto"/>
        </w:rPr>
      </w:pPr>
    </w:p>
    <w:p>
      <w:pPr>
        <w:ind w:left="900" w:right="200" w:hanging="446"/>
        <w:spacing w:after="0" w:line="33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ordinary shares, options, exercise prices and loss per share amounts have been adjusted retroactively for all periods presented in these financial statements, to reflect the 17-to-one bonus share issuance (equivalent to an 18-for-1 share split) effected on August 25, 2014.</w:t>
      </w:r>
    </w:p>
    <w:p>
      <w:pPr>
        <w:spacing w:after="0" w:line="44" w:lineRule="exact"/>
        <w:rPr>
          <w:rFonts w:ascii="Arial" w:cs="Arial" w:eastAsia="Arial" w:hAnsi="Arial"/>
          <w:sz w:val="16"/>
          <w:szCs w:val="16"/>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Composition of convertible preferred share capital and ordinary shares capital: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Authorized</w:t>
            </w:r>
          </w:p>
        </w:tc>
        <w:tc>
          <w:tcPr>
            <w:tcW w:w="10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82"/>
              </w:rPr>
              <w:t>Issued and outstanding</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760" w:type="dxa"/>
            <w:vAlign w:val="bottom"/>
            <w:gridSpan w:val="4"/>
          </w:tcPr>
          <w:p>
            <w:pPr>
              <w:ind w:left="820"/>
              <w:spacing w:after="0" w:line="142" w:lineRule="exact"/>
              <w:rPr>
                <w:sz w:val="20"/>
                <w:szCs w:val="20"/>
                <w:color w:val="auto"/>
              </w:rPr>
            </w:pPr>
            <w:r>
              <w:rPr>
                <w:rFonts w:ascii="Arial" w:cs="Arial" w:eastAsia="Arial" w:hAnsi="Arial"/>
                <w:sz w:val="14"/>
                <w:szCs w:val="14"/>
                <w:b w:val="1"/>
                <w:bCs w:val="1"/>
                <w:color w:val="auto"/>
              </w:rPr>
              <w:t>December 31,</w:t>
            </w: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2"/>
                <w:szCs w:val="12"/>
                <w:color w:val="auto"/>
              </w:rPr>
            </w:pPr>
          </w:p>
        </w:tc>
        <w:tc>
          <w:tcPr>
            <w:tcW w:w="2040" w:type="dxa"/>
            <w:vAlign w:val="bottom"/>
            <w:gridSpan w:val="4"/>
          </w:tcPr>
          <w:p>
            <w:pPr>
              <w:ind w:left="480"/>
              <w:spacing w:after="0" w:line="142"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Number of shares</w:t>
            </w:r>
          </w:p>
        </w:tc>
        <w:tc>
          <w:tcPr>
            <w:tcW w:w="7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Preferred shares of NIS 0.01 par value:</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Series A Preferred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11,000</w:t>
            </w:r>
          </w:p>
        </w:tc>
        <w:tc>
          <w:tcPr>
            <w:tcW w:w="3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11,000</w:t>
            </w:r>
          </w:p>
        </w:tc>
        <w:tc>
          <w:tcPr>
            <w:tcW w:w="1040" w:type="dxa"/>
            <w:vAlign w:val="bottom"/>
          </w:tcPr>
          <w:p>
            <w:pPr>
              <w:jc w:val="right"/>
              <w:spacing w:after="0"/>
              <w:rPr>
                <w:sz w:val="20"/>
                <w:szCs w:val="20"/>
                <w:color w:val="auto"/>
              </w:rPr>
            </w:pPr>
            <w:r>
              <w:rPr>
                <w:rFonts w:ascii="Arial" w:cs="Arial" w:eastAsia="Arial" w:hAnsi="Arial"/>
                <w:sz w:val="18"/>
                <w:szCs w:val="18"/>
                <w:color w:val="auto"/>
              </w:rPr>
              <w:t>11,000</w:t>
            </w: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10,677</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10,677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63,880</w:t>
            </w: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63,880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Series C-1 Preferred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67,486</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67,486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Series C-2 Preferred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19,675</w:t>
            </w: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19,675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Series D-1 Preferred shares</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84,008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Series D-2 Preferred shares</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69,387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Series D-3 Preferred shares</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10,323</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10,323</w:t>
            </w:r>
          </w:p>
        </w:tc>
        <w:tc>
          <w:tcPr>
            <w:tcW w:w="3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10,323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Series D-4 Preferred shares</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3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440" w:type="dxa"/>
            <w:vAlign w:val="bottom"/>
            <w:gridSpan w:val="2"/>
          </w:tcPr>
          <w:p>
            <w:pPr>
              <w:spacing w:after="0"/>
              <w:rPr>
                <w:sz w:val="20"/>
                <w:szCs w:val="20"/>
                <w:color w:val="auto"/>
              </w:rPr>
            </w:pPr>
            <w:r>
              <w:rPr>
                <w:rFonts w:ascii="Arial" w:cs="Arial" w:eastAsia="Arial" w:hAnsi="Arial"/>
                <w:sz w:val="18"/>
                <w:szCs w:val="18"/>
                <w:color w:val="auto"/>
              </w:rPr>
              <w:t>Total Preferred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351,000</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532,677</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532,677</w:t>
            </w:r>
          </w:p>
        </w:tc>
        <w:tc>
          <w:tcPr>
            <w:tcW w:w="34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161,718</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327,403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331,534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of NIS 0.01 par value:</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Ordinary A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171,882,000</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168,613,056</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168,613,056</w:t>
            </w: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180,000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180,000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Ordinary B non-voting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5,688</w:t>
            </w: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0"/>
        </w:trPr>
        <w:tc>
          <w:tcPr>
            <w:tcW w:w="444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440" w:type="dxa"/>
            <w:vAlign w:val="bottom"/>
            <w:gridSpan w:val="2"/>
          </w:tcPr>
          <w:p>
            <w:pPr>
              <w:spacing w:after="0"/>
              <w:rPr>
                <w:sz w:val="20"/>
                <w:szCs w:val="20"/>
                <w:color w:val="auto"/>
              </w:rPr>
            </w:pPr>
            <w:r>
              <w:rPr>
                <w:rFonts w:ascii="Arial" w:cs="Arial" w:eastAsia="Arial" w:hAnsi="Arial"/>
                <w:sz w:val="18"/>
                <w:szCs w:val="18"/>
                <w:color w:val="auto"/>
              </w:rPr>
              <w:t>Total ordinary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173,682,000</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170,413,056</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170,413,056</w:t>
            </w:r>
          </w:p>
        </w:tc>
        <w:tc>
          <w:tcPr>
            <w:tcW w:w="34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185,688</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185,688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187,776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Convertible Preferred Share Rights:</w:t>
      </w:r>
    </w:p>
    <w:p>
      <w:pPr>
        <w:spacing w:after="0" w:line="117"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Series A Convertible Preferred, Series B Convertible Preferred, Series C Convertible Preferred and Series D Convertible Preferred shares confer upon their holders all the rights conferred by ordinary shares, in addition to certain rights set forth in the Company’s articles of association, inter alia, the following:</w:t>
      </w:r>
    </w:p>
    <w:p>
      <w:pPr>
        <w:spacing w:after="0" w:line="100" w:lineRule="exact"/>
        <w:rPr>
          <w:sz w:val="20"/>
          <w:szCs w:val="20"/>
          <w:color w:val="auto"/>
        </w:rPr>
      </w:pPr>
    </w:p>
    <w:p>
      <w:pPr>
        <w:ind w:left="1480" w:right="40" w:hanging="567"/>
        <w:spacing w:after="0" w:line="332" w:lineRule="auto"/>
        <w:tabs>
          <w:tab w:leader="none" w:pos="14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Right to receive dividends-No payment of any dividends shall be declared or paid on any class of shares of the Company unless an equal and ratable dividend is first declared and paid to holders of series C Convertible Preferred and Series D Convertible Preferred shares.</w:t>
      </w:r>
    </w:p>
    <w:p>
      <w:pPr>
        <w:spacing w:after="0" w:line="44" w:lineRule="exact"/>
        <w:rPr>
          <w:rFonts w:ascii="Arial" w:cs="Arial" w:eastAsia="Arial" w:hAnsi="Arial"/>
          <w:sz w:val="16"/>
          <w:szCs w:val="16"/>
          <w:color w:val="auto"/>
        </w:rPr>
      </w:pPr>
    </w:p>
    <w:p>
      <w:pPr>
        <w:ind w:left="1480" w:right="20" w:hanging="567"/>
        <w:spacing w:after="0" w:line="268" w:lineRule="auto"/>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Liquidation rights-In the event of any event of liquidation, the Company will distribute to holders of the convertible preferred shares, prior to and in preference to any payments to any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 (DEFICIENCY) (Cont.)</w:t>
      </w:r>
    </w:p>
    <w:p>
      <w:pPr>
        <w:spacing w:after="0" w:line="164" w:lineRule="exact"/>
        <w:rPr>
          <w:sz w:val="20"/>
          <w:szCs w:val="20"/>
          <w:color w:val="auto"/>
        </w:rPr>
      </w:pPr>
    </w:p>
    <w:p>
      <w:pPr>
        <w:ind w:left="1480"/>
        <w:spacing w:after="0" w:line="256" w:lineRule="auto"/>
        <w:rPr>
          <w:sz w:val="20"/>
          <w:szCs w:val="20"/>
          <w:color w:val="auto"/>
        </w:rPr>
      </w:pPr>
      <w:r>
        <w:rPr>
          <w:rFonts w:ascii="Arial" w:cs="Arial" w:eastAsia="Arial" w:hAnsi="Arial"/>
          <w:sz w:val="18"/>
          <w:szCs w:val="18"/>
          <w:color w:val="auto"/>
        </w:rPr>
        <w:t>holders of any other classes of shares, a per share amount equal to the original issuance price for each of their shares. The liquidation order is such that Series D, Series C, Series B and Series A shareholders are entitled, in that order, to receive any distribution of any asset, capital, earnings or surplus funds of the Company. All remaining assets shall be distributed among all the shareholders pro rata in proportion to the number of shares held by them on a converted basis.</w:t>
      </w:r>
    </w:p>
    <w:p>
      <w:pPr>
        <w:spacing w:after="0" w:line="62" w:lineRule="exact"/>
        <w:rPr>
          <w:sz w:val="20"/>
          <w:szCs w:val="20"/>
          <w:color w:val="auto"/>
        </w:rPr>
      </w:pPr>
    </w:p>
    <w:p>
      <w:pPr>
        <w:ind w:left="1480" w:right="140" w:hanging="567"/>
        <w:spacing w:after="0" w:line="259"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Voting rights-Each share of preferred share shall be entitled to the number of votes equal to the number of shares of ordinary shares into which such shares of Preferred share may be converted according to the conversion rate in effect at the time of such vote, as set forth in the Company’s articles of association.</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Automatic and optional conversion:</w:t>
      </w:r>
    </w:p>
    <w:p>
      <w:pPr>
        <w:spacing w:after="0" w:line="90" w:lineRule="exact"/>
        <w:rPr>
          <w:rFonts w:ascii="Arial" w:cs="Arial" w:eastAsia="Arial" w:hAnsi="Arial"/>
          <w:sz w:val="18"/>
          <w:szCs w:val="18"/>
          <w:color w:val="auto"/>
        </w:rPr>
      </w:pPr>
    </w:p>
    <w:p>
      <w:pPr>
        <w:ind w:left="1500" w:right="80"/>
        <w:spacing w:after="0" w:line="287" w:lineRule="auto"/>
        <w:rPr>
          <w:rFonts w:ascii="Arial" w:cs="Arial" w:eastAsia="Arial" w:hAnsi="Arial"/>
          <w:sz w:val="18"/>
          <w:szCs w:val="18"/>
          <w:color w:val="auto"/>
        </w:rPr>
      </w:pPr>
      <w:r>
        <w:rPr>
          <w:rFonts w:ascii="Arial" w:cs="Arial" w:eastAsia="Arial" w:hAnsi="Arial"/>
          <w:sz w:val="16"/>
          <w:szCs w:val="16"/>
          <w:color w:val="auto"/>
        </w:rPr>
        <w:t>Each convertible preferred share is convertible at the option of the holder into the number of ordinary shares determined by dividing the original issue price (as adjusted for share splits) by the applicable conversion price. The original issue price per share (as adjusted following the 18-for-1 share split, see also Note 14g) is $4.08 for Series A and for Series B, $5.88 for Series C and $6.72 for Series D. At the current conversion prices, each share of Series A, Series B, Series C and Series D will convert into ordinary shares on an 18-for-1 basis. The conversion price per share for convertible preferred shares is adjusted for certain recapitalizations, splits, combinations, ordinary shares dividends or similar events. Each preferred share automatically converts into Ordinary A Shares at the applicable conversion price then in effect, immediately prior to, and conditioned upon, the earlier of (i) the closing of a Qualified Initial Public Offering (“QIPO”), or (ii) the written consent of preferred shareholders holding at least 70% of all outstanding preferred shares. The applicable conversion rate at which the preferred shares are to be converted immediately prior to a QIPO shall be deemed the conversion rate as adjusted in accordance with the price per share at which the Company issues its securities in such QIPO.</w:t>
      </w:r>
    </w:p>
    <w:p>
      <w:pPr>
        <w:spacing w:after="0" w:line="41"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Preferred Share purchase agreements:</w:t>
      </w:r>
    </w:p>
    <w:p>
      <w:pPr>
        <w:spacing w:after="0" w:line="90"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The Company entered into a Share Purchase Agreement dated as of September 24, 2013 (the “Series D SPA”) with several existing shareholders and with a new investor, YEC, for the private placement of Series D-1, Series D-2, Series D-3 and Series D-4 convertible preferred shares in connection with the conversion of previously-issued convertible loans. Pursuant to the Series D SPA, the Company issued a total of 84,008 Series D-1 convertible preferred shares for an aggregate purchase price of $9,961 (net of $204 issuance expenses) and a total of 81,677 Series D-2, Series D-3 and Series D-4 convertible preferred shares, converting convertible loans of $9,896 (including financial expenses) million, including interest. The price per share was $121.00 per Series D-1 convertible preferred share, $96.80 per Series D-2 convertible preferred share, $101.197 per Series D-3 convertible preferred share and $103.016 per Series D-4 convertible preferred share.</w:t>
      </w:r>
    </w:p>
    <w:p>
      <w:pPr>
        <w:spacing w:after="0" w:line="37" w:lineRule="exact"/>
        <w:rPr>
          <w:sz w:val="20"/>
          <w:szCs w:val="20"/>
          <w:color w:val="auto"/>
        </w:rPr>
      </w:pPr>
    </w:p>
    <w:p>
      <w:pPr>
        <w:jc w:val="both"/>
        <w:ind w:left="920"/>
        <w:spacing w:after="0" w:line="303" w:lineRule="auto"/>
        <w:rPr>
          <w:sz w:val="20"/>
          <w:szCs w:val="20"/>
          <w:color w:val="auto"/>
        </w:rPr>
      </w:pPr>
      <w:r>
        <w:rPr>
          <w:rFonts w:ascii="Arial" w:cs="Arial" w:eastAsia="Arial" w:hAnsi="Arial"/>
          <w:sz w:val="15"/>
          <w:szCs w:val="15"/>
          <w:color w:val="auto"/>
        </w:rPr>
        <w:t>The Series D SPA provides that YEC shall be issued additional shares for no consideration on certain specified dates, beginning on April 1, 2014 and ending on September 1, 2014, if the following two events have not occurred as of such date: (i) receipt of FDA clearance to market ReWalk Personal in the United States and (ii) reimbursement by any German insurance provider of the full cost of at least one ReWalk Personal. An aggregate of</w:t>
      </w:r>
    </w:p>
    <w:p>
      <w:pPr>
        <w:spacing w:after="0" w:line="1" w:lineRule="exact"/>
        <w:rPr>
          <w:sz w:val="20"/>
          <w:szCs w:val="20"/>
          <w:color w:val="auto"/>
        </w:rPr>
      </w:pPr>
    </w:p>
    <w:p>
      <w:pPr>
        <w:ind w:left="920" w:right="380"/>
        <w:spacing w:after="0" w:line="261" w:lineRule="auto"/>
        <w:rPr>
          <w:sz w:val="20"/>
          <w:szCs w:val="20"/>
          <w:color w:val="auto"/>
        </w:rPr>
      </w:pPr>
      <w:r>
        <w:rPr>
          <w:rFonts w:ascii="Arial" w:cs="Arial" w:eastAsia="Arial" w:hAnsi="Arial"/>
          <w:sz w:val="18"/>
          <w:szCs w:val="18"/>
          <w:color w:val="auto"/>
        </w:rPr>
        <w:t>8,264 shares are issuable pursuant to the Series D SPA in connection with the failure to achieve both of these events (see also Note 14). The fair value of those warrants as of the issuance date and as of December 31, 2013 was immaterial.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 (DEFICIENCY) (Cont.)</w:t>
      </w:r>
    </w:p>
    <w:p>
      <w:pPr>
        <w:spacing w:after="0" w:line="164" w:lineRule="exact"/>
        <w:rPr>
          <w:sz w:val="20"/>
          <w:szCs w:val="20"/>
          <w:color w:val="auto"/>
        </w:rPr>
      </w:pPr>
    </w:p>
    <w:p>
      <w:pPr>
        <w:ind w:left="920" w:right="60"/>
        <w:spacing w:after="0" w:line="335" w:lineRule="auto"/>
        <w:rPr>
          <w:sz w:val="20"/>
          <w:szCs w:val="20"/>
          <w:color w:val="auto"/>
        </w:rPr>
      </w:pPr>
      <w:r>
        <w:rPr>
          <w:rFonts w:ascii="Arial" w:cs="Arial" w:eastAsia="Arial" w:hAnsi="Arial"/>
          <w:sz w:val="15"/>
          <w:szCs w:val="15"/>
          <w:color w:val="auto"/>
        </w:rPr>
        <w:t>Pursuant to the Series D SPA, the Company issued 1,377 convertible preferred D Shares to YEC on each of April 1, May 1 and June 1, 2014 (a total of 4,131 convertible preferred D shares). Following the issuance of these shares, during the six months period ended June 30, 2014 (unaudited) the Company recorded their fair value in the amount of $1,114 in its consolidated statement of operations under financial expenses, net.</w:t>
      </w:r>
    </w:p>
    <w:p>
      <w:pPr>
        <w:spacing w:after="0" w:line="7"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The fair value of the Series D convertible preferred shares issued to YEC on each of these dates was determined by the board of directors of the Company considering, among others, third party valuations, and was classified as level 3 in the fair value hierarchy since some of the inputs used in the valuation were determined based on management’s assumptions. The valuation of the Company was performed using a DCF model. The OPM method was then employed to allocate the enterprise value among the Company’s various equity classes, deriving a fully marketable value per share for the preferred share. The expected share price volatility for the shares was determined by examining the historical volatilities of a group of the Company’s industry peers as there is no trading history of the Company’s shares. The risk-free interest rate was calculated using the average of the published interest rates for U.S. Treasury zero-coupon issues with maturities that approximate the expected term. The dividend yield assumption was zero as there is no history of dividend payments.</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assumptions were used to estimate the fair value of the Series D convertible preferred shares issued to YEC on each of these dates: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expected volatility- 70%; Risk-free rate- 0.1% and Dividend yield- 0%.</w:t>
      </w:r>
    </w:p>
    <w:p>
      <w:pPr>
        <w:spacing w:after="0" w:line="84"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As of June 30, 2014 (unaudited), YEC agreed that both of the above events had been satisfied and as such commencing July 1, 2014 no convertible preferred D Shares will be issued to YEC.</w:t>
      </w:r>
    </w:p>
    <w:p>
      <w:pPr>
        <w:spacing w:after="0" w:line="51"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Ordinary shares rights:</w:t>
      </w:r>
    </w:p>
    <w:p>
      <w:pPr>
        <w:spacing w:after="0" w:line="9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Each ordinary A share confers upon its holders the right to participate the general meetings of the Company, to vote at such meetings (each share represents one vote) and to participate in any distribution of dividends or any other distribution of the Company’s property, including the distribution of surplus assets upon liquidation.</w:t>
      </w:r>
    </w:p>
    <w:p>
      <w:pPr>
        <w:spacing w:after="0" w:line="59"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Share option plans: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On March 30, 2012, the Company’s board of directors adopted the ReWalk Robotics Ltd. 2012 Equity Incentive Plan (the “2012 Plan”). As of December 31, 2013 and June 30, 2014 (unaudited), the Company had reserved 220,536 and 128,106 shares of ordinary shares, respectively, available for issuance to employees, directors, officers and consultants of the Company and its subsidiaries. The options generally vest over four years. Any option that is forfeited or canceled before expiration becomes available for future grants under the 2012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120"/>
        <w:spacing w:after="0" w:line="352"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 (DEFICIENCY) (Cont.)</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summary of employee share option activity during the six month period ended June 30, 2014 and 2013 (unaudited) is as follows:</w:t>
      </w:r>
    </w:p>
    <w:p>
      <w:pPr>
        <w:spacing w:after="0" w:line="9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86"/>
              </w:rPr>
              <w:t>Six month period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June 30, 2014 (unaudited)</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ind w:left="117"/>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440" w:type="dxa"/>
            <w:vAlign w:val="bottom"/>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c>
          <w:tcPr>
            <w:tcW w:w="4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160" w:type="dxa"/>
            <w:vAlign w:val="bottom"/>
            <w:gridSpan w:val="4"/>
          </w:tcPr>
          <w:p>
            <w:pPr>
              <w:ind w:left="440"/>
              <w:spacing w:after="0"/>
              <w:rPr>
                <w:sz w:val="20"/>
                <w:szCs w:val="20"/>
                <w:color w:val="auto"/>
              </w:rPr>
            </w:pPr>
            <w:r>
              <w:rPr>
                <w:rFonts w:ascii="Arial" w:cs="Arial" w:eastAsia="Arial" w:hAnsi="Arial"/>
                <w:sz w:val="14"/>
                <w:szCs w:val="14"/>
                <w:b w:val="1"/>
                <w:bCs w:val="1"/>
                <w:color w:val="auto"/>
                <w:w w:val="92"/>
              </w:rPr>
              <w:t>thousands)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1,004,454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5"/>
              </w:rPr>
              <w:t>$ 1.30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92,862</w:t>
            </w:r>
          </w:p>
        </w:tc>
        <w:tc>
          <w:tcPr>
            <w:tcW w:w="240" w:type="dxa"/>
            <w:vAlign w:val="bottom"/>
          </w:tcPr>
          <w:p>
            <w:pPr>
              <w:spacing w:after="0"/>
              <w:rPr>
                <w:sz w:val="18"/>
                <w:szCs w:val="18"/>
                <w:color w:val="auto"/>
              </w:rPr>
            </w:pPr>
          </w:p>
        </w:tc>
        <w:tc>
          <w:tcPr>
            <w:tcW w:w="680" w:type="dxa"/>
            <w:vAlign w:val="bottom"/>
            <w:gridSpan w:val="2"/>
          </w:tcPr>
          <w:p>
            <w:pPr>
              <w:jc w:val="center"/>
              <w:ind w:left="117"/>
              <w:spacing w:after="0"/>
              <w:rPr>
                <w:sz w:val="20"/>
                <w:szCs w:val="20"/>
                <w:color w:val="auto"/>
              </w:rPr>
            </w:pPr>
            <w:r>
              <w:rPr>
                <w:rFonts w:ascii="Arial" w:cs="Arial" w:eastAsia="Arial" w:hAnsi="Arial"/>
                <w:sz w:val="18"/>
                <w:szCs w:val="18"/>
                <w:color w:val="auto"/>
                <w:w w:val="95"/>
              </w:rPr>
              <w:t>$ 1.48</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(2,088)</w:t>
            </w:r>
          </w:p>
        </w:tc>
        <w:tc>
          <w:tcPr>
            <w:tcW w:w="6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5"/>
              </w:rPr>
              <w:t>$ 0.91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2700" w:type="dxa"/>
            <w:vAlign w:val="bottom"/>
            <w:gridSpan w:val="3"/>
          </w:tcPr>
          <w:p>
            <w:pPr>
              <w:jc w:val="right"/>
              <w:ind w:right="180"/>
              <w:spacing w:after="0"/>
              <w:rPr>
                <w:sz w:val="20"/>
                <w:szCs w:val="20"/>
                <w:color w:val="auto"/>
              </w:rPr>
            </w:pPr>
            <w:r>
              <w:rPr>
                <w:rFonts w:ascii="Arial" w:cs="Arial" w:eastAsia="Arial" w:hAnsi="Arial"/>
                <w:sz w:val="18"/>
                <w:szCs w:val="18"/>
                <w:color w:val="auto"/>
              </w:rPr>
              <w:t>(432)</w:t>
            </w:r>
          </w:p>
        </w:tc>
        <w:tc>
          <w:tcPr>
            <w:tcW w:w="680" w:type="dxa"/>
            <w:vAlign w:val="bottom"/>
            <w:gridSpan w:val="2"/>
          </w:tcPr>
          <w:p>
            <w:pPr>
              <w:jc w:val="center"/>
              <w:ind w:left="117"/>
              <w:spacing w:after="0"/>
              <w:rPr>
                <w:sz w:val="20"/>
                <w:szCs w:val="20"/>
                <w:color w:val="auto"/>
              </w:rPr>
            </w:pPr>
            <w:r>
              <w:rPr>
                <w:rFonts w:ascii="Arial" w:cs="Arial" w:eastAsia="Arial" w:hAnsi="Arial"/>
                <w:sz w:val="18"/>
                <w:szCs w:val="18"/>
                <w:color w:val="auto"/>
                <w:w w:val="95"/>
              </w:rPr>
              <w:t>$ 1.32</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17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1,094,796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5"/>
              </w:rPr>
              <w:t>$ 1.32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040" w:type="dxa"/>
            <w:vAlign w:val="bottom"/>
            <w:gridSpan w:val="2"/>
          </w:tcPr>
          <w:p>
            <w:pPr>
              <w:spacing w:after="0"/>
              <w:rPr>
                <w:sz w:val="20"/>
                <w:szCs w:val="20"/>
                <w:color w:val="auto"/>
              </w:rPr>
            </w:pPr>
            <w:r>
              <w:rPr>
                <w:rFonts w:ascii="Arial" w:cs="Arial" w:eastAsia="Arial" w:hAnsi="Arial"/>
                <w:sz w:val="18"/>
                <w:szCs w:val="18"/>
                <w:color w:val="auto"/>
              </w:rPr>
              <w:t>Vested and expected to vest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995,688</w:t>
            </w:r>
          </w:p>
        </w:tc>
        <w:tc>
          <w:tcPr>
            <w:tcW w:w="240" w:type="dxa"/>
            <w:vAlign w:val="bottom"/>
          </w:tcPr>
          <w:p>
            <w:pPr>
              <w:spacing w:after="0"/>
              <w:rPr>
                <w:sz w:val="24"/>
                <w:szCs w:val="24"/>
                <w:color w:val="auto"/>
              </w:rPr>
            </w:pPr>
          </w:p>
        </w:tc>
        <w:tc>
          <w:tcPr>
            <w:tcW w:w="680" w:type="dxa"/>
            <w:vAlign w:val="bottom"/>
            <w:gridSpan w:val="2"/>
          </w:tcPr>
          <w:p>
            <w:pPr>
              <w:jc w:val="center"/>
              <w:ind w:left="117"/>
              <w:spacing w:after="0"/>
              <w:rPr>
                <w:sz w:val="20"/>
                <w:szCs w:val="20"/>
                <w:color w:val="auto"/>
              </w:rPr>
            </w:pPr>
            <w:r>
              <w:rPr>
                <w:rFonts w:ascii="Arial" w:cs="Arial" w:eastAsia="Arial" w:hAnsi="Arial"/>
                <w:sz w:val="18"/>
                <w:szCs w:val="18"/>
                <w:color w:val="auto"/>
                <w:w w:val="95"/>
              </w:rPr>
              <w:t>$ 1.32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7,774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17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318,924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5"/>
              </w:rPr>
              <w:t>$ 1.05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86"/>
              </w:rPr>
              <w:t>Six month period ended</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June 30, 2013 (unaudited)</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ind w:left="117"/>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440" w:type="dxa"/>
            <w:vAlign w:val="bottom"/>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c>
          <w:tcPr>
            <w:tcW w:w="4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160" w:type="dxa"/>
            <w:vAlign w:val="bottom"/>
            <w:gridSpan w:val="4"/>
          </w:tcPr>
          <w:p>
            <w:pPr>
              <w:ind w:left="440"/>
              <w:spacing w:after="0"/>
              <w:rPr>
                <w:sz w:val="20"/>
                <w:szCs w:val="20"/>
                <w:color w:val="auto"/>
              </w:rPr>
            </w:pPr>
            <w:r>
              <w:rPr>
                <w:rFonts w:ascii="Arial" w:cs="Arial" w:eastAsia="Arial" w:hAnsi="Arial"/>
                <w:sz w:val="14"/>
                <w:szCs w:val="14"/>
                <w:b w:val="1"/>
                <w:bCs w:val="1"/>
                <w:color w:val="auto"/>
                <w:w w:val="92"/>
              </w:rPr>
              <w:t>thousands)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519,696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5"/>
              </w:rPr>
              <w:t>$ 1.14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28,800</w:t>
            </w:r>
          </w:p>
        </w:tc>
        <w:tc>
          <w:tcPr>
            <w:tcW w:w="240" w:type="dxa"/>
            <w:vAlign w:val="bottom"/>
          </w:tcPr>
          <w:p>
            <w:pPr>
              <w:spacing w:after="0"/>
              <w:rPr>
                <w:sz w:val="18"/>
                <w:szCs w:val="18"/>
                <w:color w:val="auto"/>
              </w:rPr>
            </w:pPr>
          </w:p>
        </w:tc>
        <w:tc>
          <w:tcPr>
            <w:tcW w:w="680" w:type="dxa"/>
            <w:vAlign w:val="bottom"/>
            <w:gridSpan w:val="2"/>
          </w:tcPr>
          <w:p>
            <w:pPr>
              <w:jc w:val="center"/>
              <w:ind w:left="117"/>
              <w:spacing w:after="0"/>
              <w:rPr>
                <w:sz w:val="20"/>
                <w:szCs w:val="20"/>
                <w:color w:val="auto"/>
              </w:rPr>
            </w:pPr>
            <w:r>
              <w:rPr>
                <w:rFonts w:ascii="Arial" w:cs="Arial" w:eastAsia="Arial" w:hAnsi="Arial"/>
                <w:sz w:val="18"/>
                <w:szCs w:val="18"/>
                <w:color w:val="auto"/>
                <w:w w:val="95"/>
              </w:rPr>
              <w:t>$ 1.32</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7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17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548,496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5"/>
              </w:rPr>
              <w:t>$ 1.16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040" w:type="dxa"/>
            <w:vAlign w:val="bottom"/>
            <w:gridSpan w:val="2"/>
          </w:tcPr>
          <w:p>
            <w:pPr>
              <w:spacing w:after="0"/>
              <w:rPr>
                <w:sz w:val="20"/>
                <w:szCs w:val="20"/>
                <w:color w:val="auto"/>
              </w:rPr>
            </w:pPr>
            <w:r>
              <w:rPr>
                <w:rFonts w:ascii="Arial" w:cs="Arial" w:eastAsia="Arial" w:hAnsi="Arial"/>
                <w:sz w:val="18"/>
                <w:szCs w:val="18"/>
                <w:color w:val="auto"/>
              </w:rPr>
              <w:t>Vested and expected to vest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454,500</w:t>
            </w:r>
          </w:p>
        </w:tc>
        <w:tc>
          <w:tcPr>
            <w:tcW w:w="240" w:type="dxa"/>
            <w:vAlign w:val="bottom"/>
          </w:tcPr>
          <w:p>
            <w:pPr>
              <w:spacing w:after="0"/>
              <w:rPr>
                <w:sz w:val="24"/>
                <w:szCs w:val="24"/>
                <w:color w:val="auto"/>
              </w:rPr>
            </w:pPr>
          </w:p>
        </w:tc>
        <w:tc>
          <w:tcPr>
            <w:tcW w:w="680" w:type="dxa"/>
            <w:vAlign w:val="bottom"/>
            <w:gridSpan w:val="2"/>
          </w:tcPr>
          <w:p>
            <w:pPr>
              <w:jc w:val="center"/>
              <w:ind w:left="117"/>
              <w:spacing w:after="0"/>
              <w:rPr>
                <w:sz w:val="20"/>
                <w:szCs w:val="20"/>
                <w:color w:val="auto"/>
              </w:rPr>
            </w:pPr>
            <w:r>
              <w:rPr>
                <w:rFonts w:ascii="Arial" w:cs="Arial" w:eastAsia="Arial" w:hAnsi="Arial"/>
                <w:sz w:val="18"/>
                <w:szCs w:val="18"/>
                <w:color w:val="auto"/>
                <w:w w:val="95"/>
              </w:rPr>
              <w:t>$ 1.12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17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5"/>
              </w:rPr>
              <w:t>$ 0.87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00" w:type="dxa"/>
            <w:vAlign w:val="bottom"/>
            <w:gridSpan w:val="3"/>
          </w:tcPr>
          <w:p>
            <w:pPr>
              <w:jc w:val="right"/>
              <w:ind w:right="1720"/>
              <w:spacing w:after="0"/>
              <w:rPr>
                <w:sz w:val="20"/>
                <w:szCs w:val="20"/>
                <w:color w:val="auto"/>
              </w:rPr>
            </w:pPr>
            <w:r>
              <w:rPr>
                <w:rFonts w:ascii="Arial" w:cs="Arial" w:eastAsia="Arial" w:hAnsi="Arial"/>
                <w:sz w:val="18"/>
                <w:szCs w:val="18"/>
                <w:color w:val="auto"/>
              </w:rPr>
              <w:t>F-25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460" w:right="10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4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employee share option activity during the years ended December 31, 2012 and 2013 is as follows:</w:t>
      </w:r>
    </w:p>
    <w:p>
      <w:pPr>
        <w:spacing w:after="0" w:line="7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w w:val="96"/>
              </w:rPr>
              <w:t>December 31, 2012</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83"/>
              </w:rPr>
              <w:t>Average</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440" w:type="dxa"/>
            <w:vAlign w:val="bottom"/>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8"/>
              </w:rPr>
              <w:t>exercise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3"/>
              </w:rPr>
              <w:t>price</w:t>
            </w:r>
          </w:p>
        </w:tc>
        <w:tc>
          <w:tcPr>
            <w:tcW w:w="4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160" w:type="dxa"/>
            <w:vAlign w:val="bottom"/>
            <w:gridSpan w:val="4"/>
          </w:tcPr>
          <w:p>
            <w:pPr>
              <w:ind w:left="440"/>
              <w:spacing w:after="0"/>
              <w:rPr>
                <w:sz w:val="20"/>
                <w:szCs w:val="20"/>
                <w:color w:val="auto"/>
              </w:rPr>
            </w:pPr>
            <w:r>
              <w:rPr>
                <w:rFonts w:ascii="Arial" w:cs="Arial" w:eastAsia="Arial" w:hAnsi="Arial"/>
                <w:sz w:val="14"/>
                <w:szCs w:val="14"/>
                <w:b w:val="1"/>
                <w:bCs w:val="1"/>
                <w:color w:val="auto"/>
                <w:w w:val="92"/>
              </w:rPr>
              <w:t>thousands)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106,866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421,830</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519,696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880" w:type="dxa"/>
            <w:vAlign w:val="bottom"/>
            <w:gridSpan w:val="2"/>
          </w:tcPr>
          <w:p>
            <w:pPr>
              <w:spacing w:after="0"/>
              <w:rPr>
                <w:sz w:val="20"/>
                <w:szCs w:val="20"/>
                <w:color w:val="auto"/>
              </w:rPr>
            </w:pPr>
            <w:r>
              <w:rPr>
                <w:rFonts w:ascii="Arial" w:cs="Arial" w:eastAsia="Arial" w:hAnsi="Arial"/>
                <w:sz w:val="18"/>
                <w:szCs w:val="18"/>
                <w:color w:val="auto"/>
              </w:rPr>
              <w:t>Vested and expected to vest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425,070</w:t>
            </w:r>
          </w:p>
        </w:tc>
        <w:tc>
          <w:tcPr>
            <w:tcW w:w="26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97,938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ind w:left="32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2013</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gridSpan w:val="3"/>
          </w:tcPr>
          <w:p>
            <w:pPr>
              <w:ind w:left="440"/>
              <w:spacing w:after="0" w:line="149" w:lineRule="exact"/>
              <w:rPr>
                <w:sz w:val="20"/>
                <w:szCs w:val="20"/>
                <w:color w:val="auto"/>
              </w:rPr>
            </w:pPr>
            <w:r>
              <w:rPr>
                <w:rFonts w:ascii="Arial" w:cs="Arial" w:eastAsia="Arial" w:hAnsi="Arial"/>
                <w:sz w:val="14"/>
                <w:szCs w:val="14"/>
                <w:b w:val="1"/>
                <w:bCs w:val="1"/>
                <w:color w:val="auto"/>
                <w:w w:val="83"/>
              </w:rPr>
              <w:t>Average</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440" w:type="dxa"/>
            <w:vAlign w:val="bottom"/>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8"/>
              </w:rPr>
              <w:t>exercise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40" w:type="dxa"/>
            <w:vAlign w:val="bottom"/>
          </w:tcPr>
          <w:p>
            <w:pPr>
              <w:jc w:val="right"/>
              <w:ind w:right="55"/>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price</w:t>
            </w:r>
          </w:p>
        </w:tc>
        <w:tc>
          <w:tcPr>
            <w:tcW w:w="4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160" w:type="dxa"/>
            <w:vAlign w:val="bottom"/>
            <w:gridSpan w:val="4"/>
          </w:tcPr>
          <w:p>
            <w:pPr>
              <w:ind w:left="440"/>
              <w:spacing w:after="0"/>
              <w:rPr>
                <w:sz w:val="20"/>
                <w:szCs w:val="20"/>
                <w:color w:val="auto"/>
              </w:rPr>
            </w:pPr>
            <w:r>
              <w:rPr>
                <w:rFonts w:ascii="Arial" w:cs="Arial" w:eastAsia="Arial" w:hAnsi="Arial"/>
                <w:sz w:val="14"/>
                <w:szCs w:val="14"/>
                <w:b w:val="1"/>
                <w:bCs w:val="1"/>
                <w:color w:val="auto"/>
                <w:w w:val="92"/>
              </w:rPr>
              <w:t>thousands)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519,696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484,758</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80"/>
              <w:spacing w:after="0"/>
              <w:rPr>
                <w:sz w:val="20"/>
                <w:szCs w:val="20"/>
                <w:color w:val="auto"/>
              </w:rPr>
            </w:pPr>
            <w:r>
              <w:rPr>
                <w:rFonts w:ascii="Arial" w:cs="Arial" w:eastAsia="Arial" w:hAnsi="Arial"/>
                <w:sz w:val="18"/>
                <w:szCs w:val="18"/>
                <w:color w:val="auto"/>
                <w:w w:val="79"/>
              </w:rPr>
              <w:t>1.47</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Forfeited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1,004,454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760" w:type="dxa"/>
            <w:vAlign w:val="bottom"/>
            <w:gridSpan w:val="2"/>
          </w:tcPr>
          <w:p>
            <w:pPr>
              <w:spacing w:after="0"/>
              <w:rPr>
                <w:sz w:val="20"/>
                <w:szCs w:val="20"/>
                <w:color w:val="auto"/>
              </w:rPr>
            </w:pPr>
            <w:r>
              <w:rPr>
                <w:rFonts w:ascii="Arial" w:cs="Arial" w:eastAsia="Arial" w:hAnsi="Arial"/>
                <w:sz w:val="18"/>
                <w:szCs w:val="18"/>
                <w:color w:val="auto"/>
              </w:rPr>
              <w:t>Vested and expected to vest</w:t>
            </w:r>
          </w:p>
        </w:tc>
        <w:tc>
          <w:tcPr>
            <w:tcW w:w="740" w:type="dxa"/>
            <w:vAlign w:val="bottom"/>
          </w:tcPr>
          <w:p>
            <w:pPr>
              <w:jc w:val="right"/>
              <w:spacing w:after="0"/>
              <w:rPr>
                <w:sz w:val="20"/>
                <w:szCs w:val="20"/>
                <w:color w:val="auto"/>
              </w:rPr>
            </w:pPr>
            <w:r>
              <w:rPr>
                <w:rFonts w:ascii="Arial" w:cs="Arial" w:eastAsia="Arial" w:hAnsi="Arial"/>
                <w:sz w:val="18"/>
                <w:szCs w:val="18"/>
                <w:color w:val="auto"/>
              </w:rPr>
              <w:t>905,778</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80"/>
              <w:spacing w:after="0"/>
              <w:rPr>
                <w:sz w:val="20"/>
                <w:szCs w:val="20"/>
                <w:color w:val="auto"/>
              </w:rPr>
            </w:pPr>
            <w:r>
              <w:rPr>
                <w:rFonts w:ascii="Arial" w:cs="Arial" w:eastAsia="Arial" w:hAnsi="Arial"/>
                <w:sz w:val="18"/>
                <w:szCs w:val="18"/>
                <w:color w:val="auto"/>
                <w:w w:val="79"/>
              </w:rPr>
              <w:t>1.30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4,086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236,664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0.93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The weighted average grant date fair values of options granted during the years ended December 31, 2012 and 2013 and for the six month period ended June 30, 2014 (unaudited) were $ 2.03, $ 4.74 and $ 6.99, respectively.</w:t>
      </w:r>
    </w:p>
    <w:p>
      <w:pPr>
        <w:spacing w:after="0" w:line="78"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color w:val="auto"/>
        </w:rPr>
        <w:t>The aggregate intrinsic value in the table above represents the total intrinsic value that would have been received by the option holders had all option holders exercised their options on the last date of the exercise period. No option was exercised during the years ended December 31, 2012 and 2013, total intrinsic value of options exercised for the six month period ended June 30, 2014 (unaudited) was $ 12. As of December 31, 2013 and June 30, 2014 (unaudited), there was $ 2,668 and $ 2,929 of total unrecognized compensation cost</w:t>
      </w:r>
    </w:p>
    <w:p>
      <w:pPr>
        <w:spacing w:after="0" w:line="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 (DEFICIENCY) (Cont.)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80"/>
        <w:spacing w:after="0" w:line="352"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 (DEFICIENCY) (Cont.)</w:t>
      </w:r>
    </w:p>
    <w:p>
      <w:pPr>
        <w:spacing w:after="0" w:line="164"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related to non-vested share-based compensation arrangements granted under the 2012 Plan. This cost is expected to be recognized over a period of approximately 4 and 3.75 years, respectively.</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options outstanding as of December 31, 2012 have been separated into ranges of exercise price as follows:</w:t>
      </w: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36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3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exercisable</w:t>
            </w:r>
          </w:p>
        </w:tc>
        <w:tc>
          <w:tcPr>
            <w:tcW w:w="13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1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3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13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Range of exercise price</w:t>
            </w:r>
          </w:p>
        </w:tc>
        <w:tc>
          <w:tcPr>
            <w:tcW w:w="2040" w:type="dxa"/>
            <w:vAlign w:val="bottom"/>
            <w:gridSpan w:val="2"/>
          </w:tcPr>
          <w:p>
            <w:pPr>
              <w:jc w:val="center"/>
              <w:ind w:left="113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2140" w:type="dxa"/>
            <w:vAlign w:val="bottom"/>
            <w:gridSpan w:val="2"/>
          </w:tcPr>
          <w:p>
            <w:pPr>
              <w:jc w:val="center"/>
              <w:ind w:left="1238"/>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1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55"/>
        </w:trPr>
        <w:tc>
          <w:tcPr>
            <w:tcW w:w="1400" w:type="dxa"/>
            <w:vAlign w:val="bottom"/>
            <w:vMerge w:val="continue"/>
          </w:tcPr>
          <w:p>
            <w:pPr>
              <w:spacing w:after="0"/>
              <w:rPr>
                <w:sz w:val="13"/>
                <w:szCs w:val="13"/>
                <w:color w:val="auto"/>
              </w:rPr>
            </w:pPr>
          </w:p>
        </w:tc>
        <w:tc>
          <w:tcPr>
            <w:tcW w:w="2040" w:type="dxa"/>
            <w:vAlign w:val="bottom"/>
            <w:gridSpan w:val="2"/>
          </w:tcPr>
          <w:p>
            <w:pPr>
              <w:jc w:val="center"/>
              <w:ind w:left="1138"/>
              <w:spacing w:after="0" w:line="148" w:lineRule="exact"/>
              <w:rPr>
                <w:sz w:val="20"/>
                <w:szCs w:val="20"/>
                <w:color w:val="auto"/>
              </w:rPr>
            </w:pPr>
            <w:r>
              <w:rPr>
                <w:rFonts w:ascii="Arial" w:cs="Arial" w:eastAsia="Arial" w:hAnsi="Arial"/>
                <w:sz w:val="14"/>
                <w:szCs w:val="14"/>
                <w:b w:val="1"/>
                <w:bCs w:val="1"/>
                <w:color w:val="auto"/>
                <w:w w:val="83"/>
              </w:rPr>
              <w:t>2012</w:t>
            </w:r>
          </w:p>
        </w:tc>
        <w:tc>
          <w:tcPr>
            <w:tcW w:w="1340" w:type="dxa"/>
            <w:vAlign w:val="bottom"/>
          </w:tcPr>
          <w:p>
            <w:pPr>
              <w:spacing w:after="0"/>
              <w:rPr>
                <w:sz w:val="13"/>
                <w:szCs w:val="13"/>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life (years)</w:t>
            </w:r>
          </w:p>
        </w:tc>
        <w:tc>
          <w:tcPr>
            <w:tcW w:w="2140" w:type="dxa"/>
            <w:vAlign w:val="bottom"/>
            <w:gridSpan w:val="2"/>
          </w:tcPr>
          <w:p>
            <w:pPr>
              <w:jc w:val="center"/>
              <w:ind w:left="1258"/>
              <w:spacing w:after="0" w:line="148" w:lineRule="exact"/>
              <w:rPr>
                <w:sz w:val="20"/>
                <w:szCs w:val="20"/>
                <w:color w:val="auto"/>
              </w:rPr>
            </w:pPr>
            <w:r>
              <w:rPr>
                <w:rFonts w:ascii="Arial" w:cs="Arial" w:eastAsia="Arial" w:hAnsi="Arial"/>
                <w:sz w:val="14"/>
                <w:szCs w:val="14"/>
                <w:b w:val="1"/>
                <w:bCs w:val="1"/>
                <w:color w:val="auto"/>
                <w:w w:val="89"/>
              </w:rPr>
              <w:t>2012</w:t>
            </w:r>
          </w:p>
        </w:tc>
        <w:tc>
          <w:tcPr>
            <w:tcW w:w="1360" w:type="dxa"/>
            <w:vAlign w:val="bottom"/>
          </w:tcPr>
          <w:p>
            <w:pPr>
              <w:spacing w:after="0"/>
              <w:rPr>
                <w:sz w:val="13"/>
                <w:szCs w:val="13"/>
                <w:color w:val="auto"/>
              </w:rPr>
            </w:pPr>
          </w:p>
        </w:tc>
        <w:tc>
          <w:tcPr>
            <w:tcW w:w="7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life (years)</w:t>
            </w:r>
          </w:p>
        </w:tc>
        <w:tc>
          <w:tcPr>
            <w:tcW w:w="0" w:type="dxa"/>
            <w:vAlign w:val="bottom"/>
          </w:tcPr>
          <w:p>
            <w:pPr>
              <w:spacing w:after="0"/>
              <w:rPr>
                <w:sz w:val="1"/>
                <w:szCs w:val="1"/>
                <w:color w:val="auto"/>
              </w:rPr>
            </w:pPr>
          </w:p>
        </w:tc>
      </w:tr>
      <w:tr>
        <w:trPr>
          <w:trHeight w:val="122"/>
        </w:trPr>
        <w:tc>
          <w:tcPr>
            <w:tcW w:w="1400" w:type="dxa"/>
            <w:vAlign w:val="bottom"/>
            <w:tcBorders>
              <w:top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36,306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84"/>
              </w:rPr>
              <w:t>$0.28</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4,356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4,356</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$0.82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59,328</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43,236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84"/>
              </w:rPr>
              <w:t>$1.32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412,830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14,040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519,696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97,938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options outstanding as of December 31, 2013 have been separated into ranges of exercise price as follows:</w:t>
      </w:r>
    </w:p>
    <w:p>
      <w:pPr>
        <w:spacing w:after="0" w:line="19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36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3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exercisable</w:t>
            </w:r>
          </w:p>
        </w:tc>
        <w:tc>
          <w:tcPr>
            <w:tcW w:w="13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1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3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13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Range of exercise price</w:t>
            </w:r>
          </w:p>
        </w:tc>
        <w:tc>
          <w:tcPr>
            <w:tcW w:w="2040" w:type="dxa"/>
            <w:vAlign w:val="bottom"/>
            <w:gridSpan w:val="2"/>
          </w:tcPr>
          <w:p>
            <w:pPr>
              <w:jc w:val="center"/>
              <w:ind w:left="113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2140" w:type="dxa"/>
            <w:vAlign w:val="bottom"/>
            <w:gridSpan w:val="2"/>
          </w:tcPr>
          <w:p>
            <w:pPr>
              <w:jc w:val="center"/>
              <w:ind w:left="123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1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55"/>
        </w:trPr>
        <w:tc>
          <w:tcPr>
            <w:tcW w:w="1400" w:type="dxa"/>
            <w:vAlign w:val="bottom"/>
            <w:vMerge w:val="continue"/>
          </w:tcPr>
          <w:p>
            <w:pPr>
              <w:spacing w:after="0"/>
              <w:rPr>
                <w:sz w:val="13"/>
                <w:szCs w:val="13"/>
                <w:color w:val="auto"/>
              </w:rPr>
            </w:pPr>
          </w:p>
        </w:tc>
        <w:tc>
          <w:tcPr>
            <w:tcW w:w="2040" w:type="dxa"/>
            <w:vAlign w:val="bottom"/>
            <w:gridSpan w:val="2"/>
          </w:tcPr>
          <w:p>
            <w:pPr>
              <w:jc w:val="center"/>
              <w:ind w:left="1139"/>
              <w:spacing w:after="0" w:line="148" w:lineRule="exact"/>
              <w:rPr>
                <w:sz w:val="20"/>
                <w:szCs w:val="20"/>
                <w:color w:val="auto"/>
              </w:rPr>
            </w:pPr>
            <w:r>
              <w:rPr>
                <w:rFonts w:ascii="Arial" w:cs="Arial" w:eastAsia="Arial" w:hAnsi="Arial"/>
                <w:sz w:val="14"/>
                <w:szCs w:val="14"/>
                <w:b w:val="1"/>
                <w:bCs w:val="1"/>
                <w:color w:val="auto"/>
                <w:w w:val="83"/>
              </w:rPr>
              <w:t>2013</w:t>
            </w:r>
          </w:p>
        </w:tc>
        <w:tc>
          <w:tcPr>
            <w:tcW w:w="1340" w:type="dxa"/>
            <w:vAlign w:val="bottom"/>
          </w:tcPr>
          <w:p>
            <w:pPr>
              <w:spacing w:after="0"/>
              <w:rPr>
                <w:sz w:val="13"/>
                <w:szCs w:val="13"/>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life (years)</w:t>
            </w:r>
          </w:p>
        </w:tc>
        <w:tc>
          <w:tcPr>
            <w:tcW w:w="2140" w:type="dxa"/>
            <w:vAlign w:val="bottom"/>
            <w:gridSpan w:val="2"/>
          </w:tcPr>
          <w:p>
            <w:pPr>
              <w:jc w:val="center"/>
              <w:ind w:left="1259"/>
              <w:spacing w:after="0" w:line="148" w:lineRule="exact"/>
              <w:rPr>
                <w:sz w:val="20"/>
                <w:szCs w:val="20"/>
                <w:color w:val="auto"/>
              </w:rPr>
            </w:pPr>
            <w:r>
              <w:rPr>
                <w:rFonts w:ascii="Arial" w:cs="Arial" w:eastAsia="Arial" w:hAnsi="Arial"/>
                <w:sz w:val="14"/>
                <w:szCs w:val="14"/>
                <w:b w:val="1"/>
                <w:bCs w:val="1"/>
                <w:color w:val="auto"/>
                <w:w w:val="89"/>
              </w:rPr>
              <w:t>2013</w:t>
            </w:r>
          </w:p>
        </w:tc>
        <w:tc>
          <w:tcPr>
            <w:tcW w:w="1360" w:type="dxa"/>
            <w:vAlign w:val="bottom"/>
          </w:tcPr>
          <w:p>
            <w:pPr>
              <w:spacing w:after="0"/>
              <w:rPr>
                <w:sz w:val="13"/>
                <w:szCs w:val="13"/>
                <w:color w:val="auto"/>
              </w:rPr>
            </w:pPr>
          </w:p>
        </w:tc>
        <w:tc>
          <w:tcPr>
            <w:tcW w:w="7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life (years)</w:t>
            </w:r>
          </w:p>
        </w:tc>
        <w:tc>
          <w:tcPr>
            <w:tcW w:w="0" w:type="dxa"/>
            <w:vAlign w:val="bottom"/>
          </w:tcPr>
          <w:p>
            <w:pPr>
              <w:spacing w:after="0"/>
              <w:rPr>
                <w:sz w:val="1"/>
                <w:szCs w:val="1"/>
                <w:color w:val="auto"/>
              </w:rPr>
            </w:pPr>
          </w:p>
        </w:tc>
      </w:tr>
      <w:tr>
        <w:trPr>
          <w:trHeight w:val="95"/>
        </w:trPr>
        <w:tc>
          <w:tcPr>
            <w:tcW w:w="1400" w:type="dxa"/>
            <w:vAlign w:val="bottom"/>
            <w:tcBorders>
              <w:top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84"/>
              </w:rPr>
              <w:t>$0.28</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4,356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4,356</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$0.82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59,328</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58,086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84"/>
              </w:rPr>
              <w:t>$1.32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463,500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131,040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$1.48</w:t>
            </w:r>
          </w:p>
        </w:tc>
        <w:tc>
          <w:tcPr>
            <w:tcW w:w="1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434,088</w:t>
            </w:r>
          </w:p>
        </w:tc>
        <w:tc>
          <w:tcPr>
            <w:tcW w:w="1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3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1,004,454</w:t>
            </w:r>
          </w:p>
        </w:tc>
        <w:tc>
          <w:tcPr>
            <w:tcW w:w="13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34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236,664</w:t>
            </w: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gridSpan w:val="2"/>
          </w:tcPr>
          <w:p>
            <w:pPr>
              <w:jc w:val="right"/>
              <w:ind w:right="366"/>
              <w:spacing w:after="0"/>
              <w:rPr>
                <w:sz w:val="20"/>
                <w:szCs w:val="20"/>
                <w:color w:val="auto"/>
              </w:rPr>
            </w:pPr>
            <w:r>
              <w:rPr>
                <w:rFonts w:ascii="Arial" w:cs="Arial" w:eastAsia="Arial" w:hAnsi="Arial"/>
                <w:sz w:val="18"/>
                <w:szCs w:val="18"/>
                <w:color w:val="auto"/>
              </w:rPr>
              <w:t>F-27</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120"/>
        <w:spacing w:after="0" w:line="352"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 (DEFICIENCY) (Cont.)</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options outstanding as of June 30, 2014 (unaudited) have been separated into ranges of exercise price as follows:</w:t>
      </w:r>
    </w:p>
    <w:p>
      <w:pPr>
        <w:spacing w:after="0" w:line="19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exercisable</w:t>
            </w:r>
          </w:p>
        </w:tc>
        <w:tc>
          <w:tcPr>
            <w:tcW w:w="14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14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1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14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Range of exercise price</w:t>
            </w:r>
          </w:p>
        </w:tc>
        <w:tc>
          <w:tcPr>
            <w:tcW w:w="1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2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2060" w:type="dxa"/>
            <w:vAlign w:val="bottom"/>
            <w:gridSpan w:val="2"/>
          </w:tcPr>
          <w:p>
            <w:pPr>
              <w:jc w:val="center"/>
              <w:ind w:left="1278"/>
              <w:spacing w:after="0" w:line="149" w:lineRule="exact"/>
              <w:rPr>
                <w:sz w:val="20"/>
                <w:szCs w:val="20"/>
                <w:color w:val="auto"/>
              </w:rPr>
            </w:pPr>
            <w:r>
              <w:rPr>
                <w:rFonts w:ascii="Arial" w:cs="Arial" w:eastAsia="Arial" w:hAnsi="Arial"/>
                <w:sz w:val="14"/>
                <w:szCs w:val="14"/>
                <w:b w:val="1"/>
                <w:bCs w:val="1"/>
                <w:color w:val="auto"/>
                <w:w w:val="83"/>
              </w:rPr>
              <w:t>2014</w:t>
            </w:r>
          </w:p>
        </w:tc>
        <w:tc>
          <w:tcPr>
            <w:tcW w:w="2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55"/>
        </w:trPr>
        <w:tc>
          <w:tcPr>
            <w:tcW w:w="1400" w:type="dxa"/>
            <w:vAlign w:val="bottom"/>
            <w:vMerge w:val="continue"/>
          </w:tcPr>
          <w:p>
            <w:pPr>
              <w:spacing w:after="0"/>
              <w:rPr>
                <w:sz w:val="13"/>
                <w:szCs w:val="13"/>
                <w:color w:val="auto"/>
              </w:rPr>
            </w:pPr>
          </w:p>
        </w:tc>
        <w:tc>
          <w:tcPr>
            <w:tcW w:w="2040" w:type="dxa"/>
            <w:vAlign w:val="bottom"/>
            <w:gridSpan w:val="2"/>
          </w:tcPr>
          <w:p>
            <w:pPr>
              <w:jc w:val="center"/>
              <w:ind w:left="1176"/>
              <w:spacing w:after="0" w:line="148" w:lineRule="exact"/>
              <w:rPr>
                <w:sz w:val="20"/>
                <w:szCs w:val="20"/>
                <w:color w:val="auto"/>
              </w:rPr>
            </w:pPr>
            <w:r>
              <w:rPr>
                <w:rFonts w:ascii="Arial" w:cs="Arial" w:eastAsia="Arial" w:hAnsi="Arial"/>
                <w:sz w:val="14"/>
                <w:szCs w:val="14"/>
                <w:b w:val="1"/>
                <w:bCs w:val="1"/>
                <w:color w:val="auto"/>
                <w:w w:val="83"/>
              </w:rPr>
              <w:t>2014</w:t>
            </w:r>
          </w:p>
        </w:tc>
        <w:tc>
          <w:tcPr>
            <w:tcW w:w="1380" w:type="dxa"/>
            <w:vAlign w:val="bottom"/>
          </w:tcPr>
          <w:p>
            <w:pPr>
              <w:spacing w:after="0"/>
              <w:rPr>
                <w:sz w:val="13"/>
                <w:szCs w:val="13"/>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life (years)</w:t>
            </w:r>
          </w:p>
        </w:tc>
        <w:tc>
          <w:tcPr>
            <w:tcW w:w="2060" w:type="dxa"/>
            <w:vAlign w:val="bottom"/>
            <w:gridSpan w:val="2"/>
          </w:tcPr>
          <w:p>
            <w:pPr>
              <w:jc w:val="center"/>
              <w:ind w:left="1278"/>
              <w:spacing w:after="0" w:line="148" w:lineRule="exact"/>
              <w:rPr>
                <w:sz w:val="20"/>
                <w:szCs w:val="20"/>
                <w:color w:val="auto"/>
              </w:rPr>
            </w:pPr>
            <w:r>
              <w:rPr>
                <w:rFonts w:ascii="Arial" w:cs="Arial" w:eastAsia="Arial" w:hAnsi="Arial"/>
                <w:sz w:val="14"/>
                <w:szCs w:val="14"/>
                <w:b w:val="1"/>
                <w:bCs w:val="1"/>
                <w:color w:val="auto"/>
                <w:w w:val="86"/>
              </w:rPr>
              <w:t>(unaudited)</w:t>
            </w:r>
          </w:p>
        </w:tc>
        <w:tc>
          <w:tcPr>
            <w:tcW w:w="1400" w:type="dxa"/>
            <w:vAlign w:val="bottom"/>
          </w:tcPr>
          <w:p>
            <w:pPr>
              <w:spacing w:after="0"/>
              <w:rPr>
                <w:sz w:val="13"/>
                <w:szCs w:val="13"/>
                <w:color w:val="auto"/>
              </w:rPr>
            </w:pPr>
          </w:p>
        </w:tc>
        <w:tc>
          <w:tcPr>
            <w:tcW w:w="7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life (years)</w:t>
            </w:r>
          </w:p>
        </w:tc>
        <w:tc>
          <w:tcPr>
            <w:tcW w:w="0" w:type="dxa"/>
            <w:vAlign w:val="bottom"/>
          </w:tcPr>
          <w:p>
            <w:pPr>
              <w:spacing w:after="0"/>
              <w:rPr>
                <w:sz w:val="1"/>
                <w:szCs w:val="1"/>
                <w:color w:val="auto"/>
              </w:rPr>
            </w:pPr>
          </w:p>
        </w:tc>
      </w:tr>
      <w:tr>
        <w:trPr>
          <w:trHeight w:val="95"/>
        </w:trPr>
        <w:tc>
          <w:tcPr>
            <w:tcW w:w="140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84"/>
              </w:rPr>
              <w:t>$0.28</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4,356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4,356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$0.82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57,600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57,600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84"/>
              </w:rPr>
              <w:t>$1.32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462,708</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182,088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$1.48</w:t>
            </w:r>
          </w:p>
        </w:tc>
        <w:tc>
          <w:tcPr>
            <w:tcW w:w="1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526,950</w:t>
            </w:r>
          </w:p>
        </w:tc>
        <w:tc>
          <w:tcPr>
            <w:tcW w:w="1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31,698</w:t>
            </w:r>
          </w:p>
        </w:tc>
        <w:tc>
          <w:tcPr>
            <w:tcW w:w="1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40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1,094,796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318,924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Options issued to consultants: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outstanding options granted to consultants as of June 30, 2014 (unaudited) were as follows: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00" w:type="dxa"/>
            <w:vAlign w:val="bottom"/>
            <w:gridSpan w:val="2"/>
          </w:tcPr>
          <w:p>
            <w:pPr>
              <w:jc w:val="center"/>
              <w:ind w:left="2019"/>
              <w:spacing w:after="0"/>
              <w:rPr>
                <w:sz w:val="20"/>
                <w:szCs w:val="20"/>
                <w:color w:val="auto"/>
              </w:rPr>
            </w:pPr>
            <w:r>
              <w:rPr>
                <w:rFonts w:ascii="Arial" w:cs="Arial" w:eastAsia="Arial" w:hAnsi="Arial"/>
                <w:sz w:val="14"/>
                <w:szCs w:val="14"/>
                <w:b w:val="1"/>
                <w:bCs w:val="1"/>
                <w:color w:val="auto"/>
                <w:w w:val="87"/>
              </w:rPr>
              <w:t>Options for</w:t>
            </w:r>
          </w:p>
        </w:tc>
        <w:tc>
          <w:tcPr>
            <w:tcW w:w="96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83"/>
              </w:rPr>
              <w:t>Exercise</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9"/>
              </w:rPr>
              <w:t>price</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2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ordinary</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2"/>
              </w:rPr>
              <w:t>per</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4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155"/>
        </w:trPr>
        <w:tc>
          <w:tcPr>
            <w:tcW w:w="3240" w:type="dxa"/>
            <w:vAlign w:val="bottom"/>
            <w:gridSpan w:val="3"/>
            <w:vMerge w:val="continue"/>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0"/>
              </w:rPr>
              <w:t>share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right="24"/>
              <w:spacing w:after="0" w:line="148" w:lineRule="exact"/>
              <w:rPr>
                <w:sz w:val="20"/>
                <w:szCs w:val="20"/>
                <w:color w:val="auto"/>
              </w:rPr>
            </w:pPr>
            <w:r>
              <w:rPr>
                <w:rFonts w:ascii="Arial" w:cs="Arial" w:eastAsia="Arial" w:hAnsi="Arial"/>
                <w:sz w:val="14"/>
                <w:szCs w:val="14"/>
                <w:b w:val="1"/>
                <w:bCs w:val="1"/>
                <w:color w:val="auto"/>
                <w:w w:val="85"/>
              </w:rPr>
              <w:t>share</w:t>
            </w:r>
          </w:p>
        </w:tc>
        <w:tc>
          <w:tcPr>
            <w:tcW w:w="1120" w:type="dxa"/>
            <w:vAlign w:val="bottom"/>
            <w:gridSpan w:val="2"/>
          </w:tcPr>
          <w:p>
            <w:pPr>
              <w:jc w:val="center"/>
              <w:ind w:left="359"/>
              <w:spacing w:after="0" w:line="148" w:lineRule="exact"/>
              <w:rPr>
                <w:sz w:val="20"/>
                <w:szCs w:val="20"/>
                <w:color w:val="auto"/>
              </w:rPr>
            </w:pPr>
            <w:r>
              <w:rPr>
                <w:rFonts w:ascii="Arial" w:cs="Arial" w:eastAsia="Arial" w:hAnsi="Arial"/>
                <w:sz w:val="14"/>
                <w:szCs w:val="14"/>
                <w:b w:val="1"/>
                <w:bCs w:val="1"/>
                <w:color w:val="auto"/>
                <w:w w:val="83"/>
              </w:rPr>
              <w:t>exercisable</w:t>
            </w:r>
          </w:p>
        </w:tc>
        <w:tc>
          <w:tcPr>
            <w:tcW w:w="460" w:type="dxa"/>
            <w:vAlign w:val="bottom"/>
          </w:tcPr>
          <w:p>
            <w:pPr>
              <w:spacing w:after="0"/>
              <w:rPr>
                <w:sz w:val="13"/>
                <w:szCs w:val="13"/>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(number)</w:t>
            </w: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(number)</w:t>
            </w:r>
          </w:p>
        </w:tc>
        <w:tc>
          <w:tcPr>
            <w:tcW w:w="4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2007</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w:t>
            </w:r>
          </w:p>
        </w:tc>
        <w:tc>
          <w:tcPr>
            <w:tcW w:w="158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March 12,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May 10, 2012</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2,430</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May 10, 2022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18,774</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outstanding options granted to consultants as of December 31, 2013 were as follows: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140" w:type="dxa"/>
            <w:vAlign w:val="bottom"/>
            <w:gridSpan w:val="2"/>
          </w:tcPr>
          <w:p>
            <w:pPr>
              <w:jc w:val="center"/>
              <w:ind w:left="2359"/>
              <w:spacing w:after="0"/>
              <w:rPr>
                <w:sz w:val="20"/>
                <w:szCs w:val="20"/>
                <w:color w:val="auto"/>
              </w:rPr>
            </w:pPr>
            <w:r>
              <w:rPr>
                <w:rFonts w:ascii="Arial" w:cs="Arial" w:eastAsia="Arial" w:hAnsi="Arial"/>
                <w:sz w:val="14"/>
                <w:szCs w:val="14"/>
                <w:b w:val="1"/>
                <w:bCs w:val="1"/>
                <w:color w:val="auto"/>
                <w:w w:val="87"/>
              </w:rPr>
              <w:t>Options for</w:t>
            </w:r>
          </w:p>
        </w:tc>
        <w:tc>
          <w:tcPr>
            <w:tcW w:w="96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83"/>
              </w:rPr>
              <w:t>Exercise</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9"/>
              </w:rPr>
              <w:t>price</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2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ordinary</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2"/>
              </w:rPr>
              <w:t>per</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4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155"/>
        </w:trPr>
        <w:tc>
          <w:tcPr>
            <w:tcW w:w="2900" w:type="dxa"/>
            <w:vAlign w:val="bottom"/>
            <w:gridSpan w:val="3"/>
            <w:vMerge w:val="continue"/>
          </w:tcPr>
          <w:p>
            <w:pPr>
              <w:spacing w:after="0"/>
              <w:rPr>
                <w:sz w:val="13"/>
                <w:szCs w:val="13"/>
                <w:color w:val="auto"/>
              </w:rPr>
            </w:pPr>
          </w:p>
        </w:tc>
        <w:tc>
          <w:tcPr>
            <w:tcW w:w="2460" w:type="dxa"/>
            <w:vAlign w:val="bottom"/>
          </w:tcPr>
          <w:p>
            <w:pPr>
              <w:spacing w:after="0"/>
              <w:rPr>
                <w:sz w:val="13"/>
                <w:szCs w:val="13"/>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0"/>
              </w:rPr>
              <w:t>share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right="24"/>
              <w:spacing w:after="0" w:line="148" w:lineRule="exact"/>
              <w:rPr>
                <w:sz w:val="20"/>
                <w:szCs w:val="20"/>
                <w:color w:val="auto"/>
              </w:rPr>
            </w:pPr>
            <w:r>
              <w:rPr>
                <w:rFonts w:ascii="Arial" w:cs="Arial" w:eastAsia="Arial" w:hAnsi="Arial"/>
                <w:sz w:val="14"/>
                <w:szCs w:val="14"/>
                <w:b w:val="1"/>
                <w:bCs w:val="1"/>
                <w:color w:val="auto"/>
                <w:w w:val="85"/>
              </w:rPr>
              <w:t>share</w:t>
            </w:r>
          </w:p>
        </w:tc>
        <w:tc>
          <w:tcPr>
            <w:tcW w:w="1120" w:type="dxa"/>
            <w:vAlign w:val="bottom"/>
            <w:gridSpan w:val="2"/>
          </w:tcPr>
          <w:p>
            <w:pPr>
              <w:jc w:val="center"/>
              <w:ind w:left="362"/>
              <w:spacing w:after="0" w:line="148" w:lineRule="exact"/>
              <w:rPr>
                <w:sz w:val="20"/>
                <w:szCs w:val="20"/>
                <w:color w:val="auto"/>
              </w:rPr>
            </w:pPr>
            <w:r>
              <w:rPr>
                <w:rFonts w:ascii="Arial" w:cs="Arial" w:eastAsia="Arial" w:hAnsi="Arial"/>
                <w:sz w:val="14"/>
                <w:szCs w:val="14"/>
                <w:b w:val="1"/>
                <w:bCs w:val="1"/>
                <w:color w:val="auto"/>
                <w:w w:val="83"/>
              </w:rPr>
              <w:t>exercisable</w:t>
            </w:r>
          </w:p>
        </w:tc>
        <w:tc>
          <w:tcPr>
            <w:tcW w:w="460" w:type="dxa"/>
            <w:vAlign w:val="bottom"/>
          </w:tcPr>
          <w:p>
            <w:pPr>
              <w:spacing w:after="0"/>
              <w:rPr>
                <w:sz w:val="13"/>
                <w:szCs w:val="13"/>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(number)</w:t>
            </w: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(number)</w:t>
            </w:r>
          </w:p>
        </w:tc>
        <w:tc>
          <w:tcPr>
            <w:tcW w:w="4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2007</w:t>
            </w:r>
          </w:p>
        </w:tc>
        <w:tc>
          <w:tcPr>
            <w:tcW w:w="2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w:t>
            </w:r>
          </w:p>
        </w:tc>
        <w:tc>
          <w:tcPr>
            <w:tcW w:w="158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March 12,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May 10, 2012</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1,872</w:t>
            </w: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May 10, 2022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18,216</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40" w:type="dxa"/>
            <w:vAlign w:val="bottom"/>
            <w:gridSpan w:val="2"/>
          </w:tcPr>
          <w:p>
            <w:pPr>
              <w:jc w:val="right"/>
              <w:ind w:right="946"/>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460" w:right="10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2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 (DEFICIENCY) (Cont.)</w:t>
      </w:r>
    </w:p>
    <w:p>
      <w:pPr>
        <w:spacing w:after="0" w:line="164"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Share-based compensation expense for employees and consultants: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recognized non-cash share-based compensation expense in the consolidated statements of operations as follows: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center"/>
              <w:ind w:right="276"/>
              <w:spacing w:after="0" w:line="142" w:lineRule="exact"/>
              <w:rPr>
                <w:sz w:val="20"/>
                <w:szCs w:val="20"/>
                <w:color w:val="auto"/>
              </w:rPr>
            </w:pPr>
            <w:r>
              <w:rPr>
                <w:rFonts w:ascii="Arial" w:cs="Arial" w:eastAsia="Arial" w:hAnsi="Arial"/>
                <w:sz w:val="14"/>
                <w:szCs w:val="14"/>
                <w:b w:val="1"/>
                <w:bCs w:val="1"/>
                <w:color w:val="auto"/>
                <w:w w:val="87"/>
              </w:rPr>
              <w:t>Unaudited</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net</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In May 2012, the Company granted its CEO options to purchase 82,728 ordinary shares at an exercise price of $1.32 per share. The options will vest immediately prior to and subject to the occurrence of (i) a merger of the Company into another corporation; (ii) the consummation of a merger, acquisition or sale of the securities of the Company; or (iii) an IPO of the Company’s ordinary shares (“Exit Event”). The above options vesting are also contingent upon market conditions related to the consideration paid to the shareholders of the Company in an Exit Event.</w:t>
      </w:r>
    </w:p>
    <w:p>
      <w:pPr>
        <w:spacing w:after="0" w:line="59" w:lineRule="exact"/>
        <w:rPr>
          <w:sz w:val="20"/>
          <w:szCs w:val="20"/>
          <w:color w:val="auto"/>
        </w:rPr>
      </w:pPr>
    </w:p>
    <w:p>
      <w:pPr>
        <w:ind w:left="920" w:right="120"/>
        <w:spacing w:after="0" w:line="255" w:lineRule="auto"/>
        <w:rPr>
          <w:sz w:val="20"/>
          <w:szCs w:val="20"/>
          <w:color w:val="auto"/>
        </w:rPr>
      </w:pPr>
      <w:r>
        <w:rPr>
          <w:rFonts w:ascii="Arial" w:cs="Arial" w:eastAsia="Arial" w:hAnsi="Arial"/>
          <w:sz w:val="18"/>
          <w:szCs w:val="18"/>
          <w:color w:val="auto"/>
        </w:rPr>
        <w:t>In accordance with the Company’s articles of association and the Third Amended and Restated Shareholders Agreement, immediately prior to and subject to the occurrence of (i) the consummation of a merger, acquisition or sale of the securities of the Company (“M&amp;A Event”); or (ii) an IPO, the Company’s founder and Chief Technology Officer has the right to receive (i) in case of an M&amp;A Event, 6% of the total proceeds; or (ii) in case of an IPO, for no consideration, shares or immediately exercisable options with cashless exercise in an amount such that the value of his interests equals 6% of the Company’s valuation.</w:t>
      </w:r>
    </w:p>
    <w:p>
      <w:pPr>
        <w:spacing w:after="0" w:line="89"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According to ASC-718, compensation cost will be recognized if the performance condition is satisfied. As of December 31, 2012 and 2013 and June 30, 2014 (unaudited), no compensation cost was recognized.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60" w:right="2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8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WARRANTS TO PURCHASE PREFERRED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Warrants</w:t>
            </w: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Issuance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Exercise</w:t>
            </w:r>
          </w:p>
        </w:tc>
        <w:tc>
          <w:tcPr>
            <w:tcW w:w="4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Issuance with respect to</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to purchase</w:t>
            </w: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date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price</w:t>
            </w:r>
          </w:p>
        </w:tc>
        <w:tc>
          <w:tcPr>
            <w:tcW w:w="4560" w:type="dxa"/>
            <w:vAlign w:val="bottom"/>
          </w:tcPr>
          <w:p>
            <w:pPr>
              <w:ind w:left="1780"/>
              <w:spacing w:after="0"/>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5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Transaction</w:t>
            </w:r>
          </w:p>
        </w:tc>
        <w:tc>
          <w:tcPr>
            <w:tcW w:w="1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08/02/2011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105.815</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5"/>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4"/>
              </w:rPr>
              <w:t>public offering and (iii) 3 years from the issuance date (all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316"/>
        </w:trPr>
        <w:tc>
          <w:tcPr>
            <w:tcW w:w="2160" w:type="dxa"/>
            <w:vAlign w:val="bottom"/>
            <w:gridSpan w:val="3"/>
          </w:tcPr>
          <w:p>
            <w:pPr>
              <w:spacing w:after="0"/>
              <w:rPr>
                <w:sz w:val="20"/>
                <w:szCs w:val="20"/>
                <w:color w:val="auto"/>
              </w:rPr>
            </w:pPr>
            <w:r>
              <w:rPr>
                <w:rFonts w:ascii="Arial" w:cs="Arial" w:eastAsia="Arial" w:hAnsi="Arial"/>
                <w:sz w:val="18"/>
                <w:szCs w:val="18"/>
                <w:color w:val="auto"/>
              </w:rPr>
              <w:t>Series C Transaction</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01/31/2012</w:t>
            </w:r>
          </w:p>
        </w:tc>
        <w:tc>
          <w:tcPr>
            <w:tcW w:w="540" w:type="dxa"/>
            <w:vAlign w:val="bottom"/>
          </w:tcPr>
          <w:p>
            <w:pPr>
              <w:jc w:val="right"/>
              <w:spacing w:after="0"/>
              <w:rPr>
                <w:sz w:val="20"/>
                <w:szCs w:val="20"/>
                <w:color w:val="auto"/>
              </w:rPr>
            </w:pPr>
            <w:r>
              <w:rPr>
                <w:rFonts w:ascii="Arial" w:cs="Arial" w:eastAsia="Arial" w:hAnsi="Arial"/>
                <w:sz w:val="18"/>
                <w:szCs w:val="18"/>
                <w:color w:val="auto"/>
              </w:rPr>
              <w:t>7,231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105.815</w:t>
            </w:r>
          </w:p>
        </w:tc>
        <w:tc>
          <w:tcPr>
            <w:tcW w:w="4560" w:type="dxa"/>
            <w:vAlign w:val="bottom"/>
          </w:tcPr>
          <w:p>
            <w:pPr>
              <w:spacing w:after="0"/>
              <w:rPr>
                <w:sz w:val="20"/>
                <w:szCs w:val="20"/>
                <w:color w:val="auto"/>
              </w:rPr>
            </w:pPr>
            <w:r>
              <w:rPr>
                <w:rFonts w:ascii="Arial" w:cs="Arial" w:eastAsia="Arial" w:hAnsi="Arial"/>
                <w:sz w:val="18"/>
                <w:szCs w:val="18"/>
                <w:color w:val="auto"/>
                <w:w w:val="95"/>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4"/>
              </w:rPr>
              <w:t>public offering and (iii) 3 years from the issuance date (all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Transaction</w:t>
            </w:r>
          </w:p>
        </w:tc>
        <w:tc>
          <w:tcPr>
            <w:tcW w:w="1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05/10/2012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105.815</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5"/>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4"/>
              </w:rPr>
              <w:t>public offering and (iii) 3 years from the issuance date (all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316"/>
        </w:trPr>
        <w:tc>
          <w:tcPr>
            <w:tcW w:w="2160" w:type="dxa"/>
            <w:vAlign w:val="bottom"/>
            <w:gridSpan w:val="3"/>
          </w:tcPr>
          <w:p>
            <w:pPr>
              <w:spacing w:after="0"/>
              <w:rPr>
                <w:sz w:val="20"/>
                <w:szCs w:val="20"/>
                <w:color w:val="auto"/>
              </w:rPr>
            </w:pPr>
            <w:r>
              <w:rPr>
                <w:rFonts w:ascii="Arial" w:cs="Arial" w:eastAsia="Arial" w:hAnsi="Arial"/>
                <w:sz w:val="18"/>
                <w:szCs w:val="18"/>
                <w:color w:val="auto"/>
              </w:rPr>
              <w:t>Series C Transaction</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08/20/2012</w:t>
            </w:r>
          </w:p>
        </w:tc>
        <w:tc>
          <w:tcPr>
            <w:tcW w:w="540" w:type="dxa"/>
            <w:vAlign w:val="bottom"/>
          </w:tcPr>
          <w:p>
            <w:pPr>
              <w:jc w:val="right"/>
              <w:spacing w:after="0"/>
              <w:rPr>
                <w:sz w:val="20"/>
                <w:szCs w:val="20"/>
                <w:color w:val="auto"/>
              </w:rPr>
            </w:pPr>
            <w:r>
              <w:rPr>
                <w:rFonts w:ascii="Arial" w:cs="Arial" w:eastAsia="Arial" w:hAnsi="Arial"/>
                <w:sz w:val="18"/>
                <w:szCs w:val="18"/>
                <w:color w:val="auto"/>
              </w:rPr>
              <w:t>5,870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105.815</w:t>
            </w:r>
          </w:p>
        </w:tc>
        <w:tc>
          <w:tcPr>
            <w:tcW w:w="4560" w:type="dxa"/>
            <w:vAlign w:val="bottom"/>
          </w:tcPr>
          <w:p>
            <w:pPr>
              <w:spacing w:after="0"/>
              <w:rPr>
                <w:sz w:val="20"/>
                <w:szCs w:val="20"/>
                <w:color w:val="auto"/>
              </w:rPr>
            </w:pPr>
            <w:r>
              <w:rPr>
                <w:rFonts w:ascii="Arial" w:cs="Arial" w:eastAsia="Arial" w:hAnsi="Arial"/>
                <w:sz w:val="18"/>
                <w:szCs w:val="18"/>
                <w:color w:val="auto"/>
                <w:w w:val="95"/>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4"/>
              </w:rPr>
              <w:t>public offering and (iii) 3 years from the issuance date (all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 agreement</w:t>
            </w:r>
          </w:p>
        </w:tc>
        <w:tc>
          <w:tcPr>
            <w:tcW w:w="15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Preferred D</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09/24/2013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5"/>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a service provider</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4"/>
              </w:rPr>
              <w:t>public offering and (iii) 5 years from the issuance date (all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316"/>
        </w:trPr>
        <w:tc>
          <w:tcPr>
            <w:tcW w:w="2160" w:type="dxa"/>
            <w:vAlign w:val="bottom"/>
            <w:gridSpan w:val="3"/>
          </w:tcPr>
          <w:p>
            <w:pPr>
              <w:spacing w:after="0"/>
              <w:rPr>
                <w:sz w:val="20"/>
                <w:szCs w:val="20"/>
                <w:color w:val="auto"/>
              </w:rPr>
            </w:pPr>
            <w:r>
              <w:rPr>
                <w:rFonts w:ascii="Arial" w:cs="Arial" w:eastAsia="Arial" w:hAnsi="Arial"/>
                <w:sz w:val="18"/>
                <w:szCs w:val="18"/>
                <w:color w:val="auto"/>
              </w:rPr>
              <w:t>Venture loan from Kreos</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Preferred 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06/19/2014</w:t>
            </w:r>
          </w:p>
        </w:tc>
        <w:tc>
          <w:tcPr>
            <w:tcW w:w="540" w:type="dxa"/>
            <w:vAlign w:val="bottom"/>
          </w:tcPr>
          <w:p>
            <w:pPr>
              <w:jc w:val="right"/>
              <w:spacing w:after="0"/>
              <w:rPr>
                <w:sz w:val="20"/>
                <w:szCs w:val="20"/>
                <w:color w:val="auto"/>
              </w:rPr>
            </w:pPr>
            <w:r>
              <w:rPr>
                <w:rFonts w:ascii="Arial" w:cs="Arial" w:eastAsia="Arial" w:hAnsi="Arial"/>
                <w:sz w:val="18"/>
                <w:szCs w:val="18"/>
                <w:color w:val="auto"/>
              </w:rPr>
              <w:t>5,372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4560" w:type="dxa"/>
            <w:vAlign w:val="bottom"/>
          </w:tcPr>
          <w:p>
            <w:pPr>
              <w:spacing w:after="0"/>
              <w:rPr>
                <w:sz w:val="20"/>
                <w:szCs w:val="20"/>
                <w:color w:val="auto"/>
              </w:rPr>
            </w:pPr>
            <w:r>
              <w:rPr>
                <w:rFonts w:ascii="Arial" w:cs="Arial" w:eastAsia="Arial" w:hAnsi="Arial"/>
                <w:sz w:val="18"/>
                <w:szCs w:val="18"/>
                <w:color w:val="auto"/>
                <w:w w:val="92"/>
              </w:rPr>
              <w:t>The earlier of: (i) a merger (ii) 5 years from the consummation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of an initial public offering and (iii) 10 years from the issuance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date (all as stipulated in the specific warrant agreement)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00" w:right="40" w:hanging="446"/>
        <w:spacing w:after="0" w:line="284"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July 26, 2011, the Company signed a series C convertible preferred share purchase agreement (the “Series C Transaction”) with the Company’s shareholders and new investors (collectively the “Investors”), pursuant to which the Company issued to each of the Investors an aggregate amount of 67,486 convertible preferred C-1 shares, at a price per share of $105.815 totaling to approximately $7.1 million.</w:t>
      </w:r>
    </w:p>
    <w:p>
      <w:pPr>
        <w:spacing w:after="0" w:line="1" w:lineRule="exact"/>
        <w:rPr>
          <w:rFonts w:ascii="Arial" w:cs="Arial" w:eastAsia="Arial" w:hAnsi="Arial"/>
          <w:sz w:val="16"/>
          <w:szCs w:val="16"/>
          <w:color w:val="auto"/>
        </w:rPr>
      </w:pPr>
    </w:p>
    <w:p>
      <w:pPr>
        <w:ind w:left="920" w:right="720"/>
        <w:spacing w:after="0" w:line="261" w:lineRule="auto"/>
        <w:rPr>
          <w:rFonts w:ascii="Arial" w:cs="Arial" w:eastAsia="Arial" w:hAnsi="Arial"/>
          <w:sz w:val="16"/>
          <w:szCs w:val="16"/>
          <w:color w:val="auto"/>
        </w:rPr>
      </w:pPr>
      <w:r>
        <w:rPr>
          <w:rFonts w:ascii="Arial" w:cs="Arial" w:eastAsia="Arial" w:hAnsi="Arial"/>
          <w:sz w:val="18"/>
          <w:szCs w:val="18"/>
          <w:color w:val="auto"/>
        </w:rPr>
        <w:t>The Investment was made in three installments as follows: (i) the first installment was made at the First Closing, in an aggregate amount of approximately $1 million by means of the issuance of 9,640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WARRANTS TO PURCHASE PREFERRED SHARE (Cont.)</w:t>
      </w:r>
    </w:p>
    <w:p>
      <w:pPr>
        <w:spacing w:after="0" w:line="164" w:lineRule="exact"/>
        <w:rPr>
          <w:sz w:val="20"/>
          <w:szCs w:val="20"/>
          <w:color w:val="auto"/>
        </w:rPr>
      </w:pPr>
    </w:p>
    <w:p>
      <w:pPr>
        <w:ind w:left="920" w:right="60"/>
        <w:spacing w:after="0" w:line="305" w:lineRule="auto"/>
        <w:rPr>
          <w:sz w:val="20"/>
          <w:szCs w:val="20"/>
          <w:color w:val="auto"/>
        </w:rPr>
      </w:pPr>
      <w:r>
        <w:rPr>
          <w:rFonts w:ascii="Arial" w:cs="Arial" w:eastAsia="Arial" w:hAnsi="Arial"/>
          <w:sz w:val="15"/>
          <w:szCs w:val="15"/>
          <w:color w:val="auto"/>
        </w:rPr>
        <w:t>convertible preferred C-1 shares (ii) the second installment was made at the Second Closing, subject to the terms of the agreement and fulfillment of the First Milestone, in an aggregate amount of approximately $2.6 million, by means of the issuance of 24,102 convertible preferred C-1 shares and</w:t>
      </w:r>
    </w:p>
    <w:p>
      <w:pPr>
        <w:ind w:left="920" w:right="140" w:firstLine="1"/>
        <w:spacing w:after="0" w:line="281" w:lineRule="auto"/>
        <w:tabs>
          <w:tab w:leader="none" w:pos="122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third and final installment was made at the Third Closing, subject to the terms of the agreement and fulfillment of the Second Milestone, in an aggregate amount of approximately $3.6 million, by means of the issuance of 33,744 convertible preferred C-1 shares.</w:t>
      </w:r>
    </w:p>
    <w:p>
      <w:pPr>
        <w:spacing w:after="0" w:line="1" w:lineRule="exact"/>
        <w:rPr>
          <w:rFonts w:ascii="Arial" w:cs="Arial" w:eastAsia="Arial" w:hAnsi="Arial"/>
          <w:sz w:val="16"/>
          <w:szCs w:val="16"/>
          <w:color w:val="auto"/>
        </w:rPr>
      </w:pPr>
    </w:p>
    <w:p>
      <w:pPr>
        <w:ind w:left="920" w:right="60"/>
        <w:spacing w:after="0" w:line="281" w:lineRule="auto"/>
        <w:rPr>
          <w:rFonts w:ascii="Arial" w:cs="Arial" w:eastAsia="Arial" w:hAnsi="Arial"/>
          <w:sz w:val="16"/>
          <w:szCs w:val="16"/>
          <w:color w:val="auto"/>
        </w:rPr>
      </w:pPr>
      <w:r>
        <w:rPr>
          <w:rFonts w:ascii="Arial" w:cs="Arial" w:eastAsia="Arial" w:hAnsi="Arial"/>
          <w:sz w:val="16"/>
          <w:szCs w:val="16"/>
          <w:color w:val="auto"/>
        </w:rPr>
        <w:t>In conjunction with the Series C Transaction, the Company granted warrants to purchase a number of shares of Series C-1 convertible preferred share upon achieving three milestones, each referred to as closing. At each of the Closings, the investor was granted warrants, at a price per each investment share of $105.815 (i) to purchase an aggregate amount of 7,615 Series C-1 convertible preferred shares to the investors at the First Closing and the holders of C-2 preferred shares, subject to consummation of the First Closing (ii) to purchase an aggregate amount of 7,231 Series C-1 convertible preferred share to the investors at the Second Closing, subject to consummation of the second closing and (iii) to purchase an aggregate amount of 10,122 Series C-1 convertible preferred share to the investors at the third closing, subject to consummation of the third closing. As of December 31, 2013, all of the three milestones were achieved and all of the above warrants were granted.</w:t>
      </w:r>
    </w:p>
    <w:p>
      <w:pPr>
        <w:spacing w:after="0" w:line="4" w:lineRule="exact"/>
        <w:rPr>
          <w:rFonts w:ascii="Arial" w:cs="Arial" w:eastAsia="Arial" w:hAnsi="Arial"/>
          <w:sz w:val="16"/>
          <w:szCs w:val="16"/>
          <w:color w:val="auto"/>
        </w:rPr>
      </w:pPr>
    </w:p>
    <w:p>
      <w:pPr>
        <w:ind w:left="920" w:right="20"/>
        <w:spacing w:after="0" w:line="281" w:lineRule="auto"/>
        <w:rPr>
          <w:rFonts w:ascii="Arial" w:cs="Arial" w:eastAsia="Arial" w:hAnsi="Arial"/>
          <w:sz w:val="16"/>
          <w:szCs w:val="16"/>
          <w:color w:val="auto"/>
        </w:rPr>
      </w:pPr>
      <w:r>
        <w:rPr>
          <w:rFonts w:ascii="Arial" w:cs="Arial" w:eastAsia="Arial" w:hAnsi="Arial"/>
          <w:sz w:val="16"/>
          <w:szCs w:val="16"/>
          <w:color w:val="auto"/>
        </w:rPr>
        <w:t>The warrants to purchase Series C-1 convertible preferred shares were determined to be freestanding instruments and were accounted under ASC 480 as a liability in the Company’s financial statements. At each reporting date, the Company re-measures its warrants for convertible preferred shares to fair value using the OPM. Since the warrants to purchase Series C-1 convertible preferred shares were issued in conjunction with the Series C Transaction, the Company first allocated the fair value of the warrants to purchase Series C-1 convertible preferred shares to warrant liability, with the residual proceeds from the Series C Transaction classified as shareholders’ equity (deficiency).</w:t>
      </w:r>
    </w:p>
    <w:p>
      <w:pPr>
        <w:spacing w:after="0" w:line="3"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The fair value of the warrants to purchase Series C-1 convertible preferred shares as of June 27, 2011, January 31, 2012, May 10, 2012 and</w:t>
      </w:r>
    </w:p>
    <w:p>
      <w:pPr>
        <w:spacing w:after="0" w:line="32" w:lineRule="exact"/>
        <w:rPr>
          <w:rFonts w:ascii="Arial" w:cs="Arial" w:eastAsia="Arial" w:hAnsi="Arial"/>
          <w:sz w:val="16"/>
          <w:szCs w:val="16"/>
          <w:color w:val="auto"/>
        </w:rPr>
      </w:pPr>
    </w:p>
    <w:p>
      <w:pPr>
        <w:jc w:val="both"/>
        <w:ind w:left="920"/>
        <w:spacing w:after="0" w:line="281" w:lineRule="auto"/>
        <w:rPr>
          <w:rFonts w:ascii="Arial" w:cs="Arial" w:eastAsia="Arial" w:hAnsi="Arial"/>
          <w:sz w:val="16"/>
          <w:szCs w:val="16"/>
          <w:color w:val="auto"/>
        </w:rPr>
      </w:pPr>
      <w:r>
        <w:rPr>
          <w:rFonts w:ascii="Arial" w:cs="Arial" w:eastAsia="Arial" w:hAnsi="Arial"/>
          <w:sz w:val="16"/>
          <w:szCs w:val="16"/>
          <w:color w:val="auto"/>
        </w:rPr>
        <w:t>August 20, 2012 (the issuance dates) was $43.09, $46.74, $57.68 and $72.26, per warrant, respectively. As of December 31, 2012, 2013 and June 30, 2014 (unaudited), the fair value of the warrants to purchase Series C-1 convertible preferred shares was $2,168, $3,262 and $4,039, respectively. The Company recorded financial expenses in the amount of $833, $1,094 and $777 in 2012, 2013 and six month period ended June 30, 2014 (unaudited), respectively, resulting from the revaluation of the warrants to purchase Series C-1 convertible preferred shares.</w:t>
      </w:r>
    </w:p>
    <w:p>
      <w:pPr>
        <w:spacing w:after="0" w:line="2" w:lineRule="exact"/>
        <w:rPr>
          <w:rFonts w:ascii="Arial" w:cs="Arial" w:eastAsia="Arial" w:hAnsi="Arial"/>
          <w:sz w:val="16"/>
          <w:szCs w:val="16"/>
          <w:color w:val="auto"/>
        </w:rPr>
      </w:pPr>
    </w:p>
    <w:p>
      <w:pPr>
        <w:ind w:left="900" w:right="20" w:hanging="446"/>
        <w:spacing w:after="0" w:line="287"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On May 30, 2013, the Company entered into a fee agreement with one of its service providers, pursuant to which the Company granted the service provider warrants to purchase shares equal to 5% of any shares issued upon cash receipt from an external investor identified by the service provider. As part of the Series D Transaction, on September 30, 2013 the service provider was granted warrants to purchase 600 Series D convertible preferred share. The Company accounted for the warrants to purchase Series D convertible preferred shares under ASC 505 and recorded the warrants at fair value as issuance expense, which was determined to be $ 62 as of September 24, 2013 (their issuance date), and classified as a liability in the Company’s financial statement. As of December 31, 2013 and June 30, 2014 (unaudited), the fair value of the warrants to purchase Series D convertible preferred shares was $78 and $93, respectively. The Company recorded financial expenses in the amount of $16 and $15 in 2013 and during the six month period ended June 30, 2014 (unaudited), respectively, resulting from the revaluation of the warrants to purchase Series D convertible preferred shares.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WARRANTS TO PURCHASE PREFERRED SHARE (Cont.)</w:t>
      </w:r>
    </w:p>
    <w:p>
      <w:pPr>
        <w:spacing w:after="0" w:line="164" w:lineRule="exact"/>
        <w:rPr>
          <w:sz w:val="20"/>
          <w:szCs w:val="20"/>
          <w:color w:val="auto"/>
        </w:rPr>
      </w:pPr>
    </w:p>
    <w:p>
      <w:pPr>
        <w:ind w:left="900" w:hanging="446"/>
        <w:spacing w:after="0" w:line="323" w:lineRule="auto"/>
        <w:tabs>
          <w:tab w:leader="none" w:pos="90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On June 19, 2014, the Company entered into a loan agreement with Kreos, pursuant to which the Company granted Kreos 5,372 warrants to purchase Series D-1 convertible preferred shares. The Company accounted for the warrants to purchase Series D-1 convertible preferred shares under ASC 480 and recorded the warrants at fair value as financial expense, which was determined to be $ 835 as of June 19, 2014 (their issuance date), and classified as a liability in the Company’s financial statement. As of June 30, 2014 (unaudited), changes in the above fair value were immaterial.</w:t>
      </w:r>
    </w:p>
    <w:p>
      <w:pPr>
        <w:spacing w:after="0" w:line="21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subsidiaries are separately taxed under the domestic tax laws of the jurisdiction of incorporation of each entity.</w:t>
      </w:r>
    </w:p>
    <w:p>
      <w:pPr>
        <w:spacing w:after="0" w:line="90"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Corporate tax rates in Israel:</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Taxable income of Israeli companies is subject to tax at the rate of 25% in 2012 and 2013, and 26.5% in 2014 and onwards.</w:t>
      </w:r>
    </w:p>
    <w:p>
      <w:pPr>
        <w:spacing w:after="0" w:line="90" w:lineRule="exact"/>
        <w:rPr>
          <w:sz w:val="20"/>
          <w:szCs w:val="20"/>
          <w:color w:val="auto"/>
        </w:rPr>
      </w:pPr>
    </w:p>
    <w:p>
      <w:pPr>
        <w:ind w:left="920" w:right="420"/>
        <w:spacing w:after="0" w:line="357" w:lineRule="auto"/>
        <w:rPr>
          <w:sz w:val="20"/>
          <w:szCs w:val="20"/>
          <w:color w:val="auto"/>
        </w:rPr>
      </w:pPr>
      <w:r>
        <w:rPr>
          <w:rFonts w:ascii="Arial" w:cs="Arial" w:eastAsia="Arial" w:hAnsi="Arial"/>
          <w:sz w:val="15"/>
          <w:szCs w:val="15"/>
          <w:color w:val="auto"/>
        </w:rPr>
        <w:t>On July 30, 2013, the Israeli Parliament (the Knesset) approved the second and third readings of the Economic Plan for 2013-2014 (“Amended Budget Law”) which consists, among others, of fiscal changes whose main aim is to enhance the collection of taxes in those years.</w:t>
      </w:r>
    </w:p>
    <w:p>
      <w:pPr>
        <w:ind w:left="920" w:right="40"/>
        <w:spacing w:after="0" w:line="290" w:lineRule="auto"/>
        <w:rPr>
          <w:sz w:val="20"/>
          <w:szCs w:val="20"/>
          <w:color w:val="auto"/>
        </w:rPr>
      </w:pPr>
      <w:r>
        <w:rPr>
          <w:rFonts w:ascii="Arial" w:cs="Arial" w:eastAsia="Arial" w:hAnsi="Arial"/>
          <w:sz w:val="16"/>
          <w:szCs w:val="16"/>
          <w:color w:val="auto"/>
        </w:rPr>
        <w:t>These changes include, among others, raising the Israeli corporate tax rate from 25% to 26.5%, cancelling the lowering of the tax rates applicable to preferred enterprises (9% in development area A and 16% in other areas) and, in certain cases, increasing the tax rates on dividends within the scope of the Law for the Encouragement of Capital Investments to 20% effective from January 1, 2014. Other changes introduced by the Amended Budget Law include taxing revaluation gains effective from August 1, 2013. The provisions that set forth changes to the taxation of revaluation gains, however, will only become effective once regulations that define “non-corporate taxable retained earnings” are issued as well as regulations that set forth provisions for avoiding double taxation of assets outside of Israel. As of the date of publication of these interim financial statements, no such regulations have been issued.</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change in tax rates did not have a material effect on the Company’s financial statements.</w:t>
      </w:r>
    </w:p>
    <w:p>
      <w:pPr>
        <w:spacing w:after="0" w:line="90"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Profit (loss) before taxes on income is comprised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4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1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 (6,671)</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Foreign</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 (6,637)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180" w:type="dxa"/>
            <w:vAlign w:val="bottom"/>
            <w:gridSpan w:val="3"/>
          </w:tcPr>
          <w:p>
            <w:pPr>
              <w:jc w:val="right"/>
              <w:ind w:right="3032"/>
              <w:spacing w:after="0"/>
              <w:rPr>
                <w:sz w:val="20"/>
                <w:szCs w:val="20"/>
                <w:color w:val="auto"/>
              </w:rPr>
            </w:pPr>
            <w:r>
              <w:rPr>
                <w:rFonts w:ascii="Arial" w:cs="Arial" w:eastAsia="Arial" w:hAnsi="Arial"/>
                <w:sz w:val="18"/>
                <w:szCs w:val="18"/>
                <w:color w:val="auto"/>
              </w:rPr>
              <w:t>F-32</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 (Cont.)</w:t>
      </w:r>
    </w:p>
    <w:p>
      <w:pPr>
        <w:spacing w:after="0" w:line="164"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Taxes on income are comprised as follows: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5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Deferred</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5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2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144"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The Company’s deferred tax assets as of December 31, 2012 are derived from its U.S. other temporary differences, and as of December 31, 2013 from U.S. net operating loss carry forwards.</w:t>
      </w:r>
    </w:p>
    <w:p>
      <w:pPr>
        <w:spacing w:after="0" w:line="53"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In assessing the realization of deferred tax assets, the Company considers whether it is more likely than not that all or some portion of the deferred tax assets will not be realized. Based on the Company’s history of losses, the Company established a full valuation allowance for RRL.</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7"/>
              </w:rPr>
              <w:t>December 31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Carry forward tax losses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8"/>
              </w:rPr>
              <w:t>Research and Development carry forward expenses-temporary differences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Accrual and reserves</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5920" w:type="dxa"/>
            <w:vAlign w:val="bottom"/>
            <w:gridSpan w:val="2"/>
          </w:tcPr>
          <w:p>
            <w:pPr>
              <w:spacing w:after="0"/>
              <w:rPr>
                <w:sz w:val="20"/>
                <w:szCs w:val="20"/>
                <w:color w:val="auto"/>
              </w:rPr>
            </w:pPr>
            <w:r>
              <w:rPr>
                <w:rFonts w:ascii="Arial" w:cs="Arial" w:eastAsia="Arial" w:hAnsi="Arial"/>
                <w:sz w:val="18"/>
                <w:szCs w:val="18"/>
                <w:color w:val="auto"/>
              </w:rPr>
              <w:t>Deferred tax assets before valuation allowance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3,806</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w w:val="87"/>
              </w:rPr>
              <w:t>(3,764)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(6,219)</w:t>
            </w:r>
          </w:p>
        </w:tc>
        <w:tc>
          <w:tcPr>
            <w:tcW w:w="0" w:type="dxa"/>
            <w:vAlign w:val="bottom"/>
          </w:tcPr>
          <w:p>
            <w:pPr>
              <w:spacing w:after="0"/>
              <w:rPr>
                <w:sz w:val="1"/>
                <w:szCs w:val="1"/>
                <w:color w:val="auto"/>
              </w:rPr>
            </w:pPr>
          </w:p>
        </w:tc>
      </w:tr>
      <w:tr>
        <w:trPr>
          <w:trHeight w:val="20"/>
        </w:trPr>
        <w:tc>
          <w:tcPr>
            <w:tcW w:w="5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9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4140"/>
              <w:spacing w:after="0"/>
              <w:rPr>
                <w:sz w:val="20"/>
                <w:szCs w:val="20"/>
                <w:color w:val="auto"/>
              </w:rPr>
            </w:pPr>
            <w:r>
              <w:rPr>
                <w:rFonts w:ascii="Arial" w:cs="Arial" w:eastAsia="Arial" w:hAnsi="Arial"/>
                <w:sz w:val="18"/>
                <w:szCs w:val="18"/>
                <w:color w:val="auto"/>
              </w:rPr>
              <w:t>F-33</w:t>
            </w: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4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 (Cont.)</w:t>
      </w:r>
    </w:p>
    <w:p>
      <w:pPr>
        <w:spacing w:after="0" w:line="164"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Reconciliation of the theoretical tax expenses:</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(benefit) as reported in the consolidated statements of operations is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Year ended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December 31</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660" w:type="dxa"/>
            <w:vAlign w:val="bottom"/>
            <w:vMerge w:val="restart"/>
          </w:tcPr>
          <w:p>
            <w:pPr>
              <w:spacing w:after="0"/>
              <w:rPr>
                <w:sz w:val="7"/>
                <w:szCs w:val="7"/>
                <w:color w:val="auto"/>
              </w:rPr>
            </w:pPr>
          </w:p>
        </w:tc>
        <w:tc>
          <w:tcPr>
            <w:tcW w:w="6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9"/>
              </w:rPr>
              <w:t>Loss before taxes, as reported in the consolidated statements of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7"/>
              </w:rPr>
              <w:t>(6,637)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(12,155)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60" w:type="dxa"/>
            <w:vAlign w:val="bottom"/>
          </w:tcPr>
          <w:p>
            <w:pPr>
              <w:spacing w:after="0"/>
              <w:rPr>
                <w:sz w:val="24"/>
                <w:szCs w:val="24"/>
                <w:color w:val="auto"/>
              </w:rPr>
            </w:pPr>
          </w:p>
        </w:tc>
        <w:tc>
          <w:tcPr>
            <w:tcW w:w="6680" w:type="dxa"/>
            <w:vAlign w:val="bottom"/>
            <w:gridSpan w:val="2"/>
          </w:tcPr>
          <w:p>
            <w:pPr>
              <w:ind w:left="660"/>
              <w:spacing w:after="0"/>
              <w:rPr>
                <w:sz w:val="20"/>
                <w:szCs w:val="20"/>
                <w:color w:val="auto"/>
              </w:rPr>
            </w:pPr>
            <w:r>
              <w:rPr>
                <w:rFonts w:ascii="Arial" w:cs="Arial" w:eastAsia="Arial" w:hAnsi="Arial"/>
                <w:sz w:val="18"/>
                <w:szCs w:val="18"/>
                <w:color w:val="auto"/>
              </w:rPr>
              <w:t>Statutory tax rate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0" w:type="dxa"/>
            <w:vAlign w:val="bottom"/>
          </w:tcPr>
          <w:p>
            <w:pPr>
              <w:spacing w:after="0"/>
              <w:rPr>
                <w:sz w:val="8"/>
                <w:szCs w:val="8"/>
                <w:color w:val="auto"/>
              </w:rPr>
            </w:pPr>
          </w:p>
        </w:tc>
        <w:tc>
          <w:tcPr>
            <w:tcW w:w="66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9"/>
              </w:rPr>
              <w:t>Theoretical tax benefits on the above amount at the Israeli statutory tax rate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7"/>
              </w:rPr>
              <w:t>(1,659)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 at rate other than the Israeli statutory tax rate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1"/>
              </w:rPr>
              <w:t>Tax advances and non-deductible expenses including equity based compensation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4"/>
              </w:rPr>
              <w:t>Operating losses and other temporary differences for which valuation allowance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was provided</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1,639</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60" w:type="dxa"/>
            <w:vAlign w:val="bottom"/>
          </w:tcPr>
          <w:p>
            <w:pPr>
              <w:spacing w:after="0"/>
              <w:rPr>
                <w:sz w:val="10"/>
                <w:szCs w:val="10"/>
                <w:color w:val="auto"/>
              </w:rPr>
            </w:pPr>
          </w:p>
        </w:tc>
        <w:tc>
          <w:tcPr>
            <w:tcW w:w="660" w:type="dxa"/>
            <w:vAlign w:val="bottom"/>
            <w:vMerge w:val="restart"/>
          </w:tcPr>
          <w:p>
            <w:pPr>
              <w:spacing w:after="0"/>
              <w:rPr>
                <w:sz w:val="10"/>
                <w:szCs w:val="10"/>
                <w:color w:val="auto"/>
              </w:rPr>
            </w:pPr>
          </w:p>
        </w:tc>
        <w:tc>
          <w:tcPr>
            <w:tcW w:w="6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color w:val="auto"/>
              </w:rPr>
              <w:t>f.</w:t>
            </w:r>
          </w:p>
        </w:tc>
        <w:tc>
          <w:tcPr>
            <w:tcW w:w="6680" w:type="dxa"/>
            <w:vAlign w:val="bottom"/>
            <w:gridSpan w:val="2"/>
            <w:vMerge w:val="restart"/>
          </w:tcPr>
          <w:p>
            <w:pPr>
              <w:ind w:left="180"/>
              <w:spacing w:after="0"/>
              <w:rPr>
                <w:sz w:val="20"/>
                <w:szCs w:val="20"/>
                <w:color w:val="auto"/>
              </w:rPr>
            </w:pPr>
            <w:r>
              <w:rPr>
                <w:rFonts w:ascii="Arial" w:cs="Arial" w:eastAsia="Arial" w:hAnsi="Arial"/>
                <w:sz w:val="18"/>
                <w:szCs w:val="18"/>
                <w:color w:val="auto"/>
              </w:rPr>
              <w:t>Foreign tax rates: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60" w:type="dxa"/>
            <w:vAlign w:val="bottom"/>
            <w:vMerge w:val="continue"/>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Taxable income of RRI was subject to tax at the rate of 35% in 2012 and 2013.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6680" w:type="dxa"/>
            <w:vAlign w:val="bottom"/>
            <w:gridSpan w:val="2"/>
          </w:tcPr>
          <w:p>
            <w:pPr>
              <w:ind w:left="200"/>
              <w:spacing w:after="0"/>
              <w:rPr>
                <w:sz w:val="20"/>
                <w:szCs w:val="20"/>
                <w:color w:val="auto"/>
              </w:rPr>
            </w:pPr>
            <w:r>
              <w:rPr>
                <w:rFonts w:ascii="Arial" w:cs="Arial" w:eastAsia="Arial" w:hAnsi="Arial"/>
                <w:sz w:val="18"/>
                <w:szCs w:val="18"/>
                <w:color w:val="auto"/>
              </w:rPr>
              <w:t>Taxable income of AMG was subject to tax at the rate of 30% in 2013.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20" w:right="3080" w:hanging="466"/>
        <w:spacing w:after="0" w:line="344" w:lineRule="auto"/>
        <w:tabs>
          <w:tab w:leader="none" w:pos="8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“Investment Law”): Conditions for entitlement to the benefits:</w:t>
      </w:r>
    </w:p>
    <w:p>
      <w:pPr>
        <w:spacing w:after="0" w:line="1" w:lineRule="exact"/>
        <w:rPr>
          <w:sz w:val="20"/>
          <w:szCs w:val="20"/>
          <w:color w:val="auto"/>
        </w:rPr>
      </w:pPr>
    </w:p>
    <w:p>
      <w:pPr>
        <w:ind w:left="920" w:right="440"/>
        <w:spacing w:after="0" w:line="332" w:lineRule="auto"/>
        <w:rPr>
          <w:sz w:val="20"/>
          <w:szCs w:val="20"/>
          <w:color w:val="auto"/>
        </w:rPr>
      </w:pPr>
      <w:r>
        <w:rPr>
          <w:rFonts w:ascii="Arial" w:cs="Arial" w:eastAsia="Arial" w:hAnsi="Arial"/>
          <w:sz w:val="16"/>
          <w:szCs w:val="16"/>
          <w:color w:val="auto"/>
        </w:rPr>
        <w:t>Under the Investment Law, in 2012 the Company has elected for “Beneficiary Enterprise” status which provides certain benefits, including tax exemptions and reduced tax rates. Income not eligible for Beneficiary Enterprise benefits is taxed at a regular rate.</w:t>
      </w:r>
    </w:p>
    <w:p>
      <w:pPr>
        <w:spacing w:after="0" w:line="4"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Income derived from Beneficiary Enterprise from productive activity will be exempt from tax for ten years from the year in which the Company first has taxable income, providing that 12 years have not passed from the beginning of the year of election. In the event of a dividend distribution from income that is exempt from company tax, as aforementioned, the Company will be required to pay tax of 25% on that income.</w:t>
      </w:r>
    </w:p>
    <w:p>
      <w:pPr>
        <w:spacing w:after="0" w:line="26"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In the event of distribution of dividends from the said tax-exempt income, the amount distributed will be subject to corporate tax at the rate ordinarily applicable to the Beneficiary Enterprise’s income. Tax-exempt income generated under the Company’s “Beneficiary Enterprise” program will be subject to taxes upon dividend distribution or complete liquidation.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6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 (Cont.)</w:t>
      </w:r>
    </w:p>
    <w:p>
      <w:pPr>
        <w:spacing w:after="0" w:line="164"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The entitlement to the above benefits is conditional upon the Company’s fulfilling the conditions stipulated by the Law and regulations published thereunder.</w:t>
      </w:r>
    </w:p>
    <w:p>
      <w:pPr>
        <w:spacing w:after="0" w:line="24"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On December 29, 2010, the Knesset approved an additional amendment to the Law for the Encouragement of Capital Investments, 1959. According to the amendment, a reduced uniform corporate tax rate for exporting industrial enterprises (over 25%) was established. The reduced tax rate will not be program dependent and will apply to the industrial enterprise’s entire income. The tax rates for industrial enterprises have been reduced gradually over a period of five years as follows:-In 2011-2012, the reduced tax rate for development area A will be 10% and for the rest of the country-15%. In 2013-2014, the reduced tax rate for development area A will be 7% and for the rest of the country-12.5%. Starting 2015 and thereafter, the reduced tax rate for development area A will be 6% and for the rest of the country-12%. However, in August 2013, the Israeli Knesset approved an amendment to the Investment Law, pursuant to which such scheduled gradual reduction was repealed beginning in 2014 and the rates for development area A will be 9% and for the rest of the country-16% in 2014 and thereafter.</w:t>
      </w:r>
    </w:p>
    <w:p>
      <w:pPr>
        <w:spacing w:after="0" w:line="10" w:lineRule="exact"/>
        <w:rPr>
          <w:sz w:val="20"/>
          <w:szCs w:val="20"/>
          <w:color w:val="auto"/>
        </w:rPr>
      </w:pPr>
    </w:p>
    <w:p>
      <w:pPr>
        <w:ind w:left="920" w:right="400"/>
        <w:spacing w:after="0" w:line="325" w:lineRule="auto"/>
        <w:rPr>
          <w:sz w:val="20"/>
          <w:szCs w:val="20"/>
          <w:color w:val="auto"/>
        </w:rPr>
      </w:pPr>
      <w:r>
        <w:rPr>
          <w:rFonts w:ascii="Arial" w:cs="Arial" w:eastAsia="Arial" w:hAnsi="Arial"/>
          <w:sz w:val="16"/>
          <w:szCs w:val="16"/>
          <w:color w:val="auto"/>
        </w:rPr>
        <w:t>The Company has examined the effect of the adoption of the Amendment on its financial statements, and as of the date of the publication of the financial statements, the Company estimates that it will not apply the Amendment. The Company’s estimate may change in the future.</w:t>
      </w:r>
    </w:p>
    <w:p>
      <w:pPr>
        <w:spacing w:after="0" w:line="1"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RRL has final tax assessments up to and including the 2009 tax year.</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RRI and AMG do not have final tax assessment, since their inception.</w:t>
      </w:r>
    </w:p>
    <w:p>
      <w:pPr>
        <w:spacing w:after="0" w:line="77"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Net operating carry-forward losses for tax purposes:</w:t>
      </w:r>
    </w:p>
    <w:p>
      <w:pPr>
        <w:spacing w:after="0" w:line="63" w:lineRule="exact"/>
        <w:rPr>
          <w:sz w:val="20"/>
          <w:szCs w:val="20"/>
          <w:color w:val="auto"/>
        </w:rPr>
      </w:pPr>
    </w:p>
    <w:p>
      <w:pPr>
        <w:ind w:left="920" w:right="460"/>
        <w:spacing w:after="0" w:line="268" w:lineRule="auto"/>
        <w:rPr>
          <w:sz w:val="20"/>
          <w:szCs w:val="20"/>
          <w:color w:val="auto"/>
        </w:rPr>
      </w:pPr>
      <w:r>
        <w:rPr>
          <w:rFonts w:ascii="Arial" w:cs="Arial" w:eastAsia="Arial" w:hAnsi="Arial"/>
          <w:sz w:val="18"/>
          <w:szCs w:val="18"/>
          <w:color w:val="auto"/>
        </w:rPr>
        <w:t>As of December 31, 2013, RRL has carry-forward losses amounting to approximately $ 22,000, which can be carried forward for an indefinite period.</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2013, RRI has carry-forward losses amounting to approximately $ 60, which can be carried forward for an indefinite period.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w w:val="98"/>
              </w:rPr>
              <w:t>NOTE 12:-</w:t>
            </w:r>
          </w:p>
        </w:tc>
        <w:tc>
          <w:tcPr>
            <w:tcW w:w="6000" w:type="dxa"/>
            <w:vAlign w:val="bottom"/>
          </w:tcPr>
          <w:p>
            <w:pPr>
              <w:ind w:left="260"/>
              <w:spacing w:after="0"/>
              <w:rPr>
                <w:sz w:val="20"/>
                <w:szCs w:val="20"/>
                <w:color w:val="auto"/>
              </w:rPr>
            </w:pPr>
            <w:r>
              <w:rPr>
                <w:rFonts w:ascii="Arial" w:cs="Arial" w:eastAsia="Arial" w:hAnsi="Arial"/>
                <w:sz w:val="18"/>
                <w:szCs w:val="18"/>
                <w:b w:val="1"/>
                <w:bCs w:val="1"/>
                <w:color w:val="auto"/>
              </w:rPr>
              <w:t>FINANCIAL EXPENSES, NET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880" w:type="dxa"/>
            <w:vAlign w:val="bottom"/>
            <w:gridSpan w:val="2"/>
          </w:tcPr>
          <w:p>
            <w:pPr>
              <w:ind w:left="460"/>
              <w:spacing w:after="0"/>
              <w:rPr>
                <w:sz w:val="20"/>
                <w:szCs w:val="20"/>
                <w:color w:val="auto"/>
              </w:rPr>
            </w:pPr>
            <w:r>
              <w:rPr>
                <w:rFonts w:ascii="Arial" w:cs="Arial" w:eastAsia="Arial" w:hAnsi="Arial"/>
                <w:sz w:val="18"/>
                <w:szCs w:val="18"/>
                <w:color w:val="auto"/>
              </w:rPr>
              <w:t>The components of financial income, net were as follows: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24"/>
                <w:szCs w:val="24"/>
                <w:color w:val="auto"/>
              </w:rPr>
            </w:pPr>
          </w:p>
        </w:tc>
        <w:tc>
          <w:tcPr>
            <w:tcW w:w="14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30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86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5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80" w:type="dxa"/>
            <w:vAlign w:val="bottom"/>
          </w:tcPr>
          <w:p>
            <w:pPr>
              <w:spacing w:after="0"/>
              <w:rPr>
                <w:sz w:val="7"/>
                <w:szCs w:val="7"/>
                <w:color w:val="auto"/>
              </w:rPr>
            </w:pPr>
          </w:p>
        </w:tc>
        <w:tc>
          <w:tcPr>
            <w:tcW w:w="6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related to convertible loans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Issuance of warrants to purchase convertible preferred share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6"/>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8"/>
              </w:rPr>
              <w:t>Revaluation of fair value of warrants to purchase convertible preferred share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Issuance of convertible preferred shares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6"/>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loss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Financial expenses related to loan agreement with Kreos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6"/>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Bank commissions</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878</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3,410</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1,656</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0" w:type="dxa"/>
            <w:vAlign w:val="bottom"/>
            <w:vMerge w:val="restart"/>
          </w:tcPr>
          <w:p>
            <w:pPr>
              <w:ind w:left="4660"/>
              <w:spacing w:after="0"/>
              <w:rPr>
                <w:sz w:val="20"/>
                <w:szCs w:val="20"/>
                <w:color w:val="auto"/>
              </w:rPr>
            </w:pPr>
            <w:r>
              <w:rPr>
                <w:rFonts w:ascii="Arial" w:cs="Arial" w:eastAsia="Arial" w:hAnsi="Arial"/>
                <w:sz w:val="18"/>
                <w:szCs w:val="18"/>
                <w:color w:val="auto"/>
              </w:rPr>
              <w:t>F-35</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2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GEOGRAPHIC INFORMATION AND MAJOR CUSTOMER AND PRODUCT DATA</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Summary information about geographic areas:</w:t>
      </w:r>
    </w:p>
    <w:p>
      <w:pPr>
        <w:spacing w:after="0" w:line="9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 manages its business on the basis of one reportable segment, and derives revenues from selling systems and services (see Note 1 for a brief description of the Company’s business). The following is a summary of revenues within geographic areas:</w:t>
      </w:r>
    </w:p>
    <w:p>
      <w:pPr>
        <w:spacing w:after="0" w:line="8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5"/>
          </w:tcPr>
          <w:p>
            <w:pPr>
              <w:jc w:val="center"/>
              <w:ind w:right="72"/>
              <w:spacing w:after="0" w:line="142" w:lineRule="exact"/>
              <w:rPr>
                <w:sz w:val="20"/>
                <w:szCs w:val="20"/>
                <w:color w:val="auto"/>
              </w:rPr>
            </w:pPr>
            <w:r>
              <w:rPr>
                <w:rFonts w:ascii="Arial" w:cs="Arial" w:eastAsia="Arial" w:hAnsi="Arial"/>
                <w:sz w:val="14"/>
                <w:szCs w:val="14"/>
                <w:b w:val="1"/>
                <w:bCs w:val="1"/>
                <w:color w:val="auto"/>
                <w:w w:val="90"/>
              </w:rPr>
              <w:t>Unaudited</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60" w:type="dxa"/>
            <w:vAlign w:val="bottom"/>
          </w:tcPr>
          <w:p>
            <w:pPr>
              <w:spacing w:after="0"/>
              <w:rPr>
                <w:sz w:val="4"/>
                <w:szCs w:val="4"/>
                <w:color w:val="auto"/>
              </w:rPr>
            </w:pPr>
          </w:p>
        </w:tc>
        <w:tc>
          <w:tcPr>
            <w:tcW w:w="6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based on customer’s location:</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Israel</w:t>
            </w:r>
          </w:p>
        </w:tc>
        <w:tc>
          <w:tcPr>
            <w:tcW w:w="42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83</w:t>
            </w:r>
          </w:p>
        </w:tc>
        <w:tc>
          <w:tcPr>
            <w:tcW w:w="1100" w:type="dxa"/>
            <w:vAlign w:val="bottom"/>
            <w:gridSpan w:val="6"/>
          </w:tcPr>
          <w:p>
            <w:pPr>
              <w:jc w:val="right"/>
              <w:ind w:right="42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Europe</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608</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476</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Japan</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74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972</w:t>
            </w:r>
          </w:p>
        </w:tc>
        <w:tc>
          <w:tcPr>
            <w:tcW w:w="8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1,588</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$ 797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$ 945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80" w:type="dxa"/>
            <w:vAlign w:val="bottom"/>
            <w:tcBorders>
              <w:bottom w:val="single" w:sz="8" w:color="CCEEFF"/>
            </w:tcBorders>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 by geographic region:</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Israel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$232</w:t>
            </w:r>
          </w:p>
        </w:tc>
        <w:tc>
          <w:tcPr>
            <w:tcW w:w="6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$294</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Germany</w:t>
            </w:r>
          </w:p>
        </w:tc>
        <w:tc>
          <w:tcPr>
            <w:tcW w:w="60" w:type="dxa"/>
            <w:vAlign w:val="bottom"/>
          </w:tcPr>
          <w:p>
            <w:pPr>
              <w:spacing w:after="0"/>
              <w:rPr>
                <w:sz w:val="18"/>
                <w:szCs w:val="18"/>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261</w:t>
            </w: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1660" w:hanging="452"/>
        <w:spacing w:after="0" w:line="393" w:lineRule="auto"/>
        <w:tabs>
          <w:tab w:leader="none" w:pos="4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Long-lived assets are comprised of property and equipment, net (long term lease deposits and severance pay fund are not included). Major customers data as a percentage of total revenues:</w:t>
      </w:r>
    </w:p>
    <w:p>
      <w:pPr>
        <w:spacing w:after="0" w:line="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8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58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0" w:type="dxa"/>
            <w:vAlign w:val="bottom"/>
          </w:tcPr>
          <w:p>
            <w:pPr>
              <w:spacing w:after="0"/>
              <w:rPr>
                <w:sz w:val="12"/>
                <w:szCs w:val="12"/>
                <w:color w:val="auto"/>
              </w:rPr>
            </w:pPr>
          </w:p>
        </w:tc>
      </w:tr>
      <w:tr>
        <w:trPr>
          <w:trHeight w:val="48"/>
        </w:trPr>
        <w:tc>
          <w:tcPr>
            <w:tcW w:w="5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Customer B</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Customer D</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Customer E</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bl>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Less than 10%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8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SUBSEQUENT EVENTS</w:t>
      </w:r>
    </w:p>
    <w:p>
      <w:pPr>
        <w:spacing w:after="0" w:line="96"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The Company evaluates events or transactions that occur after the balance sheet date but prior to the issuance of consolidated financial statements to identify matters that require additional disclosure. For its consolidated financial statements as of December 31, 2013 and for the year then ended, the Company evaluated subsequent events through May 16, 2014 (except for Note 1e), the date that the consolidated financial statements were issued. For the interim consolidated financial statements as of June 30, 2014 (unaudited) and for the six months then ended (unaudited), the Company evaluated subsequent events through August 26, 2014, the date that the interim consolidated financial statements were issued. Except as described below, the Company has concluded that no subsequent event has occurred that requires disclosure.</w:t>
      </w:r>
    </w:p>
    <w:p>
      <w:pPr>
        <w:spacing w:after="0" w:line="39" w:lineRule="exact"/>
        <w:rPr>
          <w:sz w:val="20"/>
          <w:szCs w:val="20"/>
          <w:color w:val="auto"/>
        </w:rPr>
      </w:pPr>
    </w:p>
    <w:p>
      <w:pPr>
        <w:ind w:left="900" w:right="180" w:hanging="446"/>
        <w:spacing w:after="0" w:line="33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Pursuant to Series D SPA, since until June 2014 the Company had not received FDA clearance to market ReWalk Personal in the United States, the Company issued a total of 4,131 Preferred D Shares to YEC (1,377 on April 1, 2014, 1,377 on May 1, 2014 and 1,377 on June 1, 2014).</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 April 9, 2014 the board of directors approved a grant of options to purchase 92,862 of the Company’s ordinary shares to several employees, at an exercise price of $1.48 per share, vesting over four years.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 June 26, 2014 the Company received FDA clearance to market its ReWalk Personal product in the United States.</w:t>
      </w:r>
    </w:p>
    <w:p>
      <w:pPr>
        <w:spacing w:after="0" w:line="90"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On June 19, 2014, the Company entered into a loan agreement with Kreos pursuant to which Kreos agreed to grant a line of credit to the Company of $5.0 million. The line of credit is available for drawdown until September 30, 2014, with a minimum required drawdown of $1.0 million. Amounts drawn will be repaid in 36 monthly installments. Pursuant to the loan agreement, the Company must pay a transaction fee of 1.0% of the total amount of the line of credit upon both the execution and the expiration of the loan agreement. Pursuant to the loan agreement, the Company will grant to Kreos a security interest over all of the Company’s assets, including intellectual property and equity interests in its subsidiaries. In connection with this agreement, the Company granted Kreos warrants to purchase 5,372 Series D-1 convertible preferred shares, or to the extent exercised after the closing of this offering, the same number of ordinary shares.</w:t>
      </w:r>
    </w:p>
    <w:p>
      <w:pPr>
        <w:spacing w:after="0" w:line="37" w:lineRule="exact"/>
        <w:rPr>
          <w:rFonts w:ascii="Arial" w:cs="Arial" w:eastAsia="Arial" w:hAnsi="Arial"/>
          <w:sz w:val="16"/>
          <w:szCs w:val="16"/>
          <w:color w:val="auto"/>
        </w:rPr>
      </w:pPr>
    </w:p>
    <w:p>
      <w:pPr>
        <w:ind w:left="900" w:right="260" w:hanging="446"/>
        <w:spacing w:after="0" w:line="290"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On June 26, 2014, the Company entered into a Securities Purchase Agreement with Gabriel Capital Fund (US), L.P. and affiliated entities, and the other parties named therein (the “Series E SPA”). The transaction closed in July 2014. Pursuant to the Series E SPA, the Company issued an aggregate of 75,695 of its Preferred E Shares and warrants to purchase an aggregate of 37,850 Preferred E Shares (which, to the extent they are outstanding following the closing of this offering, shall convert on an 18-for-1 basis into warrants to purchase the Company’s ordinary shares) to Gabriel and the other investors named in the Series E SPA for an aggregate purchase price in cash of $13.0 million. The Preferred E Shares were issued at a price of $171.74 per share. The warrants have an exercise price of $206.09 per share and are exercisable until four years from date of grant, subject to certain adjustments.</w:t>
      </w:r>
    </w:p>
    <w:p>
      <w:pPr>
        <w:spacing w:after="0" w:line="37"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If the Company’s pre-IPO valuation is greater than $180 million, the numbers of Preferred E Shares and warrants to purchase Preferred E Shares will retroactively decrease to 60,338 and 30,171, respectively, the per share price will become $215.45 and the exercise price for the warrants will become $258.54 per share. In case there has not occurred an IPO which yields at least $30 million in net proceeds to the Company by the date that is 12 months after the E Round closing, the number of warrants will be adjusted to 39,220.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920"/>
        <w:spacing w:after="0" w:line="364" w:lineRule="auto"/>
        <w:rPr>
          <w:sz w:val="20"/>
          <w:szCs w:val="20"/>
          <w:color w:val="auto"/>
        </w:rPr>
      </w:pPr>
      <w:r>
        <w:rPr>
          <w:rFonts w:ascii="Arial" w:cs="Arial" w:eastAsia="Arial" w:hAnsi="Arial"/>
          <w:sz w:val="18"/>
          <w:szCs w:val="18"/>
          <w:b w:val="1"/>
          <w:bCs w:val="1"/>
          <w:color w:val="auto"/>
        </w:rPr>
        <w:t>REWALK ROBOTICS LTD. (FORMERLY ARGO MEDICAL TECHNOLOGIES LTD.) AND SUBSIDIARIES 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SUBSEQUENT EVENTS (Cont.)</w:t>
      </w:r>
    </w:p>
    <w:p>
      <w:pPr>
        <w:spacing w:after="0" w:line="164" w:lineRule="exact"/>
        <w:rPr>
          <w:sz w:val="20"/>
          <w:szCs w:val="20"/>
          <w:color w:val="auto"/>
        </w:rPr>
      </w:pPr>
    </w:p>
    <w:p>
      <w:pPr>
        <w:ind w:left="900" w:hanging="446"/>
        <w:spacing w:after="0" w:line="335" w:lineRule="auto"/>
        <w:tabs>
          <w:tab w:leader="none" w:pos="9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On July 30, 2014, all of the 7,615 warrants to purchase series C-1 convertible preferred shares, which were issued on August 2, 2011, were exercised into series C-1 convertible preferred shares as follows: (i) a total of 6,197 warrants were exercised into 6,197 series C-1 convertible preferred shares for cash consideration of $656 and (ii) the remaining 1,418 warrants were exercised cashless into 721 series C-1 convertible preferred shares.</w:t>
      </w:r>
    </w:p>
    <w:p>
      <w:pPr>
        <w:spacing w:after="0" w:line="7" w:lineRule="exact"/>
        <w:rPr>
          <w:rFonts w:ascii="Arial" w:cs="Arial" w:eastAsia="Arial" w:hAnsi="Arial"/>
          <w:sz w:val="15"/>
          <w:szCs w:val="15"/>
          <w:color w:val="auto"/>
        </w:rPr>
      </w:pPr>
    </w:p>
    <w:p>
      <w:pPr>
        <w:ind w:left="900" w:right="160" w:hanging="446"/>
        <w:spacing w:after="0" w:line="298"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On August 25, 2014, the Company effected an 18-for-1 share split by means of a share dividend of 17 ordinary shares for each ordinary share then outstanding. As a result, the conversion rate for each preferred share, option and warrant was adjusted to reflect this share split. For accounting purposes, this transaction was recorded as a share split and accordingly (unless otherwise noted), all ordinary shares, options and loss per share amounts have been adjusted retroactively for all periods presented in these financial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460" w:right="29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7203440" cy="92621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926211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4400"/>
        <w:spacing w:after="0"/>
        <w:rPr>
          <w:sz w:val="20"/>
          <w:szCs w:val="20"/>
          <w:color w:val="auto"/>
        </w:rPr>
      </w:pPr>
      <w:r>
        <w:rPr>
          <w:rFonts w:ascii="Arial" w:cs="Arial" w:eastAsia="Arial" w:hAnsi="Arial"/>
          <w:sz w:val="32"/>
          <w:szCs w:val="32"/>
          <w:b w:val="1"/>
          <w:bCs w:val="1"/>
          <w:color w:val="auto"/>
        </w:rPr>
        <w:t>3,350,000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260985</wp:posOffset>
            </wp:positionV>
            <wp:extent cx="2195195" cy="840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9519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59"/>
        <w:spacing w:after="0"/>
        <w:rPr>
          <w:sz w:val="20"/>
          <w:szCs w:val="20"/>
          <w:color w:val="auto"/>
        </w:rPr>
      </w:pPr>
      <w:r>
        <w:rPr>
          <w:rFonts w:ascii="Arial" w:cs="Arial" w:eastAsia="Arial" w:hAnsi="Arial"/>
          <w:sz w:val="32"/>
          <w:szCs w:val="32"/>
          <w:b w:val="1"/>
          <w:bCs w:val="1"/>
          <w:color w:val="auto"/>
        </w:rPr>
        <w:t>ReWalk Robotics Ltd.</w:t>
      </w:r>
    </w:p>
    <w:p>
      <w:pPr>
        <w:spacing w:after="0" w:line="172" w:lineRule="exact"/>
        <w:rPr>
          <w:sz w:val="20"/>
          <w:szCs w:val="20"/>
          <w:color w:val="auto"/>
        </w:rPr>
      </w:pPr>
    </w:p>
    <w:p>
      <w:pPr>
        <w:jc w:val="center"/>
        <w:ind w:right="-459"/>
        <w:spacing w:after="0"/>
        <w:rPr>
          <w:sz w:val="20"/>
          <w:szCs w:val="20"/>
          <w:color w:val="auto"/>
        </w:rPr>
      </w:pPr>
      <w:r>
        <w:rPr>
          <w:rFonts w:ascii="Arial" w:cs="Arial" w:eastAsia="Arial" w:hAnsi="Arial"/>
          <w:sz w:val="32"/>
          <w:szCs w:val="3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321310</wp:posOffset>
            </wp:positionV>
            <wp:extent cx="15176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60" w:type="dxa"/>
        <w:tblCellMar>
          <w:top w:w="0" w:type="dxa"/>
          <w:left w:w="0" w:type="dxa"/>
          <w:bottom w:w="0" w:type="dxa"/>
          <w:right w:w="0" w:type="dxa"/>
        </w:tblCellMar>
      </w:tblPr>
      <w:tr>
        <w:trPr>
          <w:trHeight w:val="42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2"/>
          </w:tcPr>
          <w:p>
            <w:pPr>
              <w:jc w:val="center"/>
              <w:ind w:right="3880"/>
              <w:spacing w:after="0"/>
              <w:rPr>
                <w:sz w:val="20"/>
                <w:szCs w:val="20"/>
                <w:color w:val="auto"/>
              </w:rPr>
            </w:pPr>
            <w:r>
              <w:rPr>
                <w:rFonts w:ascii="Arial" w:cs="Arial" w:eastAsia="Arial" w:hAnsi="Arial"/>
                <w:sz w:val="32"/>
                <w:szCs w:val="32"/>
                <w:b w:val="1"/>
                <w:bCs w:val="1"/>
                <w:color w:val="auto"/>
              </w:rPr>
              <w:t>Barclays</w:t>
            </w:r>
          </w:p>
        </w:tc>
      </w:tr>
      <w:tr>
        <w:trPr>
          <w:trHeight w:val="45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2"/>
          </w:tcPr>
          <w:p>
            <w:pPr>
              <w:jc w:val="center"/>
              <w:ind w:right="3880"/>
              <w:spacing w:after="0"/>
              <w:rPr>
                <w:sz w:val="20"/>
                <w:szCs w:val="20"/>
                <w:color w:val="auto"/>
              </w:rPr>
            </w:pPr>
            <w:r>
              <w:rPr>
                <w:rFonts w:ascii="Arial" w:cs="Arial" w:eastAsia="Arial" w:hAnsi="Arial"/>
                <w:sz w:val="32"/>
                <w:szCs w:val="32"/>
                <w:b w:val="1"/>
                <w:bCs w:val="1"/>
                <w:color w:val="auto"/>
              </w:rPr>
              <w:t>Jefferies</w:t>
            </w:r>
          </w:p>
        </w:tc>
      </w:tr>
      <w:tr>
        <w:trPr>
          <w:trHeight w:val="269"/>
        </w:trPr>
        <w:tc>
          <w:tcPr>
            <w:tcW w:w="7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3880" w:type="dxa"/>
            <w:vAlign w:val="bottom"/>
          </w:tcPr>
          <w:p>
            <w:pPr>
              <w:spacing w:after="0"/>
              <w:rPr>
                <w:sz w:val="23"/>
                <w:szCs w:val="23"/>
                <w:color w:val="auto"/>
              </w:rPr>
            </w:pPr>
          </w:p>
        </w:tc>
      </w:tr>
      <w:tr>
        <w:trPr>
          <w:trHeight w:val="40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2"/>
          </w:tcPr>
          <w:p>
            <w:pPr>
              <w:jc w:val="center"/>
              <w:ind w:right="3880"/>
              <w:spacing w:after="0"/>
              <w:rPr>
                <w:sz w:val="20"/>
                <w:szCs w:val="20"/>
                <w:color w:val="auto"/>
              </w:rPr>
            </w:pPr>
            <w:r>
              <w:rPr>
                <w:rFonts w:ascii="Arial" w:cs="Arial" w:eastAsia="Arial" w:hAnsi="Arial"/>
                <w:sz w:val="22"/>
                <w:szCs w:val="22"/>
                <w:b w:val="1"/>
                <w:bCs w:val="1"/>
                <w:color w:val="auto"/>
                <w:w w:val="98"/>
              </w:rPr>
              <w:t>Canaccord Genuity</w:t>
            </w:r>
          </w:p>
        </w:tc>
      </w:tr>
      <w:tr>
        <w:trPr>
          <w:trHeight w:val="918"/>
        </w:trPr>
        <w:tc>
          <w:tcPr>
            <w:tcW w:w="780" w:type="dxa"/>
            <w:vAlign w:val="bottom"/>
          </w:tcPr>
          <w:p>
            <w:pPr>
              <w:spacing w:after="0"/>
              <w:rPr>
                <w:sz w:val="24"/>
                <w:szCs w:val="24"/>
                <w:color w:val="auto"/>
              </w:rPr>
            </w:pPr>
          </w:p>
        </w:tc>
        <w:tc>
          <w:tcPr>
            <w:tcW w:w="5660" w:type="dxa"/>
            <w:vAlign w:val="bottom"/>
            <w:gridSpan w:val="2"/>
          </w:tcPr>
          <w:p>
            <w:pPr>
              <w:jc w:val="right"/>
              <w:ind w:right="256"/>
              <w:spacing w:after="0"/>
              <w:rPr>
                <w:sz w:val="20"/>
                <w:szCs w:val="20"/>
                <w:color w:val="auto"/>
              </w:rPr>
            </w:pPr>
            <w:r>
              <w:rPr>
                <w:rFonts w:ascii="Arial" w:cs="Arial" w:eastAsia="Arial" w:hAnsi="Arial"/>
                <w:sz w:val="22"/>
                <w:szCs w:val="22"/>
                <w:color w:val="auto"/>
              </w:rPr>
              <w:t>, 2014</w:t>
            </w:r>
          </w:p>
        </w:tc>
        <w:tc>
          <w:tcPr>
            <w:tcW w:w="3880" w:type="dxa"/>
            <w:vAlign w:val="bottom"/>
          </w:tcPr>
          <w:p>
            <w:pPr>
              <w:spacing w:after="0"/>
              <w:rPr>
                <w:sz w:val="24"/>
                <w:szCs w:val="24"/>
                <w:color w:val="auto"/>
              </w:rPr>
            </w:pPr>
          </w:p>
        </w:tc>
      </w:tr>
      <w:tr>
        <w:trPr>
          <w:trHeight w:val="871"/>
        </w:trPr>
        <w:tc>
          <w:tcPr>
            <w:tcW w:w="780" w:type="dxa"/>
            <w:vAlign w:val="bottom"/>
          </w:tcPr>
          <w:p>
            <w:pPr>
              <w:spacing w:after="0"/>
              <w:rPr>
                <w:sz w:val="20"/>
                <w:szCs w:val="20"/>
                <w:color w:val="auto"/>
              </w:rPr>
            </w:pPr>
            <w:r>
              <w:rPr>
                <w:rFonts w:ascii="Arial" w:cs="Arial" w:eastAsia="Arial" w:hAnsi="Arial"/>
                <w:sz w:val="18"/>
                <w:szCs w:val="18"/>
                <w:color w:val="auto"/>
              </w:rPr>
              <w:t>Until</w:t>
            </w:r>
          </w:p>
        </w:tc>
        <w:tc>
          <w:tcPr>
            <w:tcW w:w="9540" w:type="dxa"/>
            <w:vAlign w:val="bottom"/>
            <w:gridSpan w:val="3"/>
          </w:tcPr>
          <w:p>
            <w:pPr>
              <w:jc w:val="center"/>
              <w:ind w:left="302"/>
              <w:spacing w:after="0"/>
              <w:rPr>
                <w:sz w:val="20"/>
                <w:szCs w:val="20"/>
                <w:color w:val="auto"/>
              </w:rPr>
            </w:pPr>
            <w:r>
              <w:rPr>
                <w:rFonts w:ascii="Arial" w:cs="Arial" w:eastAsia="Arial" w:hAnsi="Arial"/>
                <w:sz w:val="18"/>
                <w:szCs w:val="18"/>
                <w:color w:val="auto"/>
                <w:w w:val="97"/>
              </w:rPr>
              <w:t>, 2014 (25 days after the date of this prospectus), all dealers that buy, sell or trade our ordinary shares, whether or not</w:t>
            </w:r>
          </w:p>
        </w:tc>
      </w:tr>
    </w:tbl>
    <w:p>
      <w:pPr>
        <w:spacing w:after="0" w:line="239"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0960"/>
          </w:cols>
          <w:pgMar w:left="240" w:top="460" w:right="6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to be effective upon the closing of this offering include such a provision. The company may not exculpate in advance a director from liability arising out of a prohibited dividend or distribution to shareholders.</w:t>
      </w:r>
    </w:p>
    <w:p>
      <w:pPr>
        <w:spacing w:after="0" w:line="62"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59" w:lineRule="exact"/>
        <w:rPr>
          <w:sz w:val="20"/>
          <w:szCs w:val="20"/>
          <w:color w:val="auto"/>
        </w:rPr>
      </w:pPr>
    </w:p>
    <w:p>
      <w:pPr>
        <w:ind w:left="780" w:right="40" w:hanging="326"/>
        <w:spacing w:after="0" w:line="294" w:lineRule="auto"/>
        <w:tabs>
          <w:tab w:leader="none" w:pos="7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34"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34"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5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51" w:lineRule="exact"/>
        <w:rPr>
          <w:sz w:val="20"/>
          <w:szCs w:val="20"/>
          <w:color w:val="auto"/>
        </w:rPr>
      </w:pPr>
    </w:p>
    <w:p>
      <w:pPr>
        <w:ind w:left="780" w:right="360" w:hanging="326"/>
        <w:spacing w:after="0" w:line="268" w:lineRule="auto"/>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breach of duty of care to the company or to a third party, to the extent such a breach arises out of the negligent conduct of the office holder;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90" w:lineRule="exact"/>
        <w:rPr>
          <w:sz w:val="20"/>
          <w:szCs w:val="20"/>
          <w:color w:val="auto"/>
        </w:rPr>
      </w:pPr>
    </w:p>
    <w:p>
      <w:pPr>
        <w:ind w:left="780" w:right="100" w:hanging="326"/>
        <w:spacing w:after="0" w:line="268" w:lineRule="auto"/>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prejudice the company;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 Approval of Related Party Transactions under Israeli Law.”</w:t>
      </w:r>
    </w:p>
    <w:p>
      <w:pPr>
        <w:spacing w:after="0" w:line="59"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We have entered into indemnification agreements with our office holders to exculpate, indemnify and insure our office holders to the fullest extent permitted or to be permitted by our articles of association that will be in effect upon the closing of this offering, the Israeli Companies Law and the Israeli Securities Law, 5728-1968.</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During the past three years, we issued securities which were not registered under the Securities Act as set forth below. We believe that each of such issuances was exempt from registration under the Securities Act in reliance on Section 4(a)(2) of the Securities Act, Rule 701 and/or Regulation S under the Securities Act.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transactions during the preceding three fiscal years involving sales of our securities that were not registered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84" w:lineRule="exact"/>
        <w:rPr>
          <w:sz w:val="20"/>
          <w:szCs w:val="20"/>
          <w:color w:val="auto"/>
        </w:rPr>
      </w:pPr>
    </w:p>
    <w:p>
      <w:pPr>
        <w:ind w:left="780" w:right="40" w:hanging="326"/>
        <w:spacing w:after="0" w:line="298" w:lineRule="auto"/>
        <w:tabs>
          <w:tab w:leader="none" w:pos="7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Pursuant to a share purchase agreement between us and the shareholders identified therein, between July 2011 and August 2012 (i) we issued 67,486 Preferred C-1 Shares for a price per share of $105.815 and warrants to purchase up to 20,247 of our Preferred C-1 Shares at a price per share of $105.815 and (ii) we issued 19,675 Preferred C-2 Shares to the lenders identified therein at a price per share of $84.652 and warrants to purchase up to 4,721 of our Preferred C-1 Shares at a price per share of $105.815 pursuant to the conversion of a previously-issued convertible loan.</w:t>
      </w:r>
    </w:p>
    <w:p>
      <w:pPr>
        <w:spacing w:after="0" w:line="31" w:lineRule="exact"/>
        <w:rPr>
          <w:rFonts w:ascii="Arial" w:cs="Arial" w:eastAsia="Arial" w:hAnsi="Arial"/>
          <w:sz w:val="16"/>
          <w:szCs w:val="16"/>
          <w:color w:val="auto"/>
        </w:rPr>
      </w:pPr>
    </w:p>
    <w:p>
      <w:pPr>
        <w:ind w:left="780" w:right="40" w:hanging="326"/>
        <w:spacing w:after="0" w:line="298" w:lineRule="auto"/>
        <w:tabs>
          <w:tab w:leader="none" w:pos="7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Pursuant to a share purchase agreement between us and the shareholders identified therein, in September 2013 (i) we issued 84,008 Preferred D-1 Shares at a price per share of $121 to the investors identified therein and 600 warrants to purchase Preferred D Shares to one of the brokers involved in the transaction and (ii) we issued an aggregate of 81,677 Preferred D-2/3/4 Shares at a prices per share of ranging from $96.80 to $103.016 to the lenders identified therein pursuant to the conversion of a previously-issued convertible loan.</w:t>
      </w:r>
    </w:p>
    <w:p>
      <w:pPr>
        <w:spacing w:after="0" w:line="31"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Pursuant to a loan agreement between us and Kreos Capital IV (Expert Fund) Limited, in June 2014 we issued warrants to purchase 5,372 preferred shares, or to the extent exercised after the closing of this offering, the same number of ordinary shares.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April 2014, May 2014 and June 2014, pursuant to the series D share purchase agreement described above, we issued an aggregate of 4,131 Preferred D-1 Shares to Yaskawa Electric Corporation for no additional consideration.</w:t>
      </w:r>
    </w:p>
    <w:p>
      <w:pPr>
        <w:spacing w:after="0" w:line="50"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Pursuant to a securities purchase agreement between us and the shareholders identified therein, in July 2014, we issued 75,695 Preferred E Shares at a price per share of $171.74 and warrants to purchase 37,850 Preferred E Shares to the investors identified therein.</w:t>
      </w:r>
    </w:p>
    <w:p>
      <w:pPr>
        <w:spacing w:after="0" w:line="4" w:lineRule="exact"/>
        <w:rPr>
          <w:rFonts w:ascii="Arial" w:cs="Arial" w:eastAsia="Arial" w:hAnsi="Arial"/>
          <w:sz w:val="16"/>
          <w:szCs w:val="16"/>
          <w:color w:val="auto"/>
        </w:rPr>
      </w:pPr>
    </w:p>
    <w:p>
      <w:pPr>
        <w:ind w:left="780" w:right="160" w:hanging="326"/>
        <w:spacing w:after="0" w:line="306" w:lineRule="auto"/>
        <w:tabs>
          <w:tab w:leader="none" w:pos="7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Since January 1, 2011 and until August 1, 2014, we granted share options to employees and directors under our stock option plans covering an aggregate of 1,063,278 shares, with exercise prices ranging from $0.82 to $1.48 per share. As of the date of this registration statement, 2,088 of these options have been exercised, while 9,432 of these options have been forfeited and cancelled without being exercised.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Consolidated Financial Statements and related notes thereto.</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900" w:right="40" w:hanging="446"/>
        <w:spacing w:after="0" w:line="268"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Marlborough, Massachusetts on this 26th day of August, 2014.</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REWALK ROBOTICS LTD.</w:t>
      </w:r>
    </w:p>
    <w:p>
      <w:pPr>
        <w:spacing w:after="0" w:line="200" w:lineRule="exact"/>
        <w:rPr>
          <w:sz w:val="20"/>
          <w:szCs w:val="20"/>
          <w:color w:val="auto"/>
        </w:rPr>
      </w:pPr>
    </w:p>
    <w:p>
      <w:pPr>
        <w:spacing w:after="0" w:line="247"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Jasinski</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Larry Jasinski</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7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August 26, 2014 in the capacities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Signatures</w:t>
            </w:r>
          </w:p>
        </w:tc>
        <w:tc>
          <w:tcPr>
            <w:tcW w:w="2120" w:type="dxa"/>
            <w:vAlign w:val="bottom"/>
            <w:gridSpan w:val="2"/>
          </w:tcPr>
          <w:p>
            <w:pPr>
              <w:spacing w:after="0"/>
              <w:rPr>
                <w:sz w:val="14"/>
                <w:szCs w:val="14"/>
                <w:color w:val="auto"/>
              </w:rPr>
            </w:pPr>
          </w:p>
        </w:tc>
        <w:tc>
          <w:tcPr>
            <w:tcW w:w="5560" w:type="dxa"/>
            <w:vAlign w:val="bottom"/>
            <w:gridSpan w:val="3"/>
          </w:tcPr>
          <w:p>
            <w:pPr>
              <w:jc w:val="center"/>
              <w:ind w:left="1094"/>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7"/>
        </w:trPr>
        <w:tc>
          <w:tcPr>
            <w:tcW w:w="6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4"/>
          </w:tcPr>
          <w:p>
            <w:pPr>
              <w:jc w:val="center"/>
              <w:ind w:right="580"/>
              <w:spacing w:after="0"/>
              <w:rPr>
                <w:sz w:val="20"/>
                <w:szCs w:val="20"/>
                <w:color w:val="auto"/>
              </w:rPr>
            </w:pPr>
            <w:r>
              <w:rPr>
                <w:rFonts w:ascii="Arial" w:cs="Arial" w:eastAsia="Arial" w:hAnsi="Arial"/>
                <w:sz w:val="18"/>
                <w:szCs w:val="18"/>
                <w:color w:val="auto"/>
                <w:w w:val="89"/>
              </w:rPr>
              <w:t>/s/ Larry Jasinski</w:t>
            </w: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 and Chief Executive Officer</w:t>
            </w:r>
          </w:p>
        </w:tc>
      </w:tr>
      <w:tr>
        <w:trPr>
          <w:trHeight w:val="218"/>
        </w:trPr>
        <w:tc>
          <w:tcPr>
            <w:tcW w:w="600" w:type="dxa"/>
            <w:vAlign w:val="bottom"/>
          </w:tcPr>
          <w:p>
            <w:pPr>
              <w:spacing w:after="0"/>
              <w:rPr>
                <w:sz w:val="18"/>
                <w:szCs w:val="18"/>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color w:val="auto"/>
                <w:w w:val="89"/>
              </w:rPr>
              <w:t>Larry Jasinski</w:t>
            </w:r>
          </w:p>
        </w:tc>
        <w:tc>
          <w:tcPr>
            <w:tcW w:w="5560" w:type="dxa"/>
            <w:vAlign w:val="bottom"/>
            <w:gridSpan w:val="3"/>
          </w:tcPr>
          <w:p>
            <w:pPr>
              <w:jc w:val="center"/>
              <w:ind w:left="1074"/>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410"/>
        </w:trPr>
        <w:tc>
          <w:tcPr>
            <w:tcW w:w="2780" w:type="dxa"/>
            <w:vAlign w:val="bottom"/>
            <w:tcBorders>
              <w:bottom w:val="single" w:sz="8" w:color="auto"/>
            </w:tcBorders>
            <w:gridSpan w:val="3"/>
          </w:tcPr>
          <w:p>
            <w:pPr>
              <w:jc w:val="center"/>
              <w:ind w:left="203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074"/>
              <w:spacing w:after="0"/>
              <w:rPr>
                <w:sz w:val="20"/>
                <w:szCs w:val="20"/>
                <w:color w:val="auto"/>
              </w:rPr>
            </w:pPr>
            <w:r>
              <w:rPr>
                <w:rFonts w:ascii="Arial" w:cs="Arial" w:eastAsia="Arial" w:hAnsi="Arial"/>
                <w:sz w:val="18"/>
                <w:szCs w:val="18"/>
                <w:color w:val="auto"/>
                <w:w w:val="92"/>
              </w:rPr>
              <w:t>Chief Financial Officer</w:t>
            </w:r>
          </w:p>
        </w:tc>
      </w:tr>
      <w:tr>
        <w:trPr>
          <w:trHeight w:val="218"/>
        </w:trPr>
        <w:tc>
          <w:tcPr>
            <w:tcW w:w="600" w:type="dxa"/>
            <w:vAlign w:val="bottom"/>
          </w:tcPr>
          <w:p>
            <w:pPr>
              <w:spacing w:after="0"/>
              <w:rPr>
                <w:sz w:val="18"/>
                <w:szCs w:val="18"/>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color w:val="auto"/>
                <w:w w:val="99"/>
              </w:rPr>
              <w:t>Ami Kraft</w:t>
            </w:r>
          </w:p>
        </w:tc>
        <w:tc>
          <w:tcPr>
            <w:tcW w:w="5560" w:type="dxa"/>
            <w:vAlign w:val="bottom"/>
            <w:gridSpan w:val="3"/>
          </w:tcPr>
          <w:p>
            <w:pPr>
              <w:jc w:val="center"/>
              <w:ind w:left="1094"/>
              <w:spacing w:after="0" w:line="202" w:lineRule="exact"/>
              <w:rPr>
                <w:sz w:val="20"/>
                <w:szCs w:val="20"/>
                <w:color w:val="auto"/>
              </w:rPr>
            </w:pPr>
            <w:r>
              <w:rPr>
                <w:rFonts w:ascii="Arial" w:cs="Arial" w:eastAsia="Arial" w:hAnsi="Arial"/>
                <w:sz w:val="18"/>
                <w:szCs w:val="18"/>
                <w:color w:val="auto"/>
                <w:w w:val="91"/>
              </w:rPr>
              <w:t>(Principal Financial Officer and Principal Accounting Officer)</w:t>
            </w:r>
          </w:p>
        </w:tc>
      </w:tr>
      <w:tr>
        <w:trPr>
          <w:trHeight w:val="411"/>
        </w:trPr>
        <w:tc>
          <w:tcPr>
            <w:tcW w:w="2780" w:type="dxa"/>
            <w:vAlign w:val="bottom"/>
            <w:tcBorders>
              <w:bottom w:val="single" w:sz="8" w:color="auto"/>
            </w:tcBorders>
            <w:gridSpan w:val="3"/>
          </w:tcPr>
          <w:p>
            <w:pPr>
              <w:jc w:val="center"/>
              <w:ind w:left="203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074"/>
              <w:spacing w:after="0"/>
              <w:rPr>
                <w:sz w:val="20"/>
                <w:szCs w:val="20"/>
                <w:color w:val="auto"/>
              </w:rPr>
            </w:pPr>
            <w:r>
              <w:rPr>
                <w:rFonts w:ascii="Arial" w:cs="Arial" w:eastAsia="Arial" w:hAnsi="Arial"/>
                <w:sz w:val="18"/>
                <w:szCs w:val="18"/>
                <w:color w:val="auto"/>
                <w:w w:val="89"/>
              </w:rPr>
              <w:t>Director, President and Chief Technical Officer</w:t>
            </w:r>
          </w:p>
        </w:tc>
      </w:tr>
      <w:tr>
        <w:trPr>
          <w:trHeight w:val="217"/>
        </w:trPr>
        <w:tc>
          <w:tcPr>
            <w:tcW w:w="600" w:type="dxa"/>
            <w:vAlign w:val="bottom"/>
          </w:tcPr>
          <w:p>
            <w:pPr>
              <w:spacing w:after="0"/>
              <w:rPr>
                <w:sz w:val="18"/>
                <w:szCs w:val="18"/>
                <w:color w:val="auto"/>
              </w:rPr>
            </w:pPr>
          </w:p>
        </w:tc>
        <w:tc>
          <w:tcPr>
            <w:tcW w:w="4300" w:type="dxa"/>
            <w:vAlign w:val="bottom"/>
            <w:gridSpan w:val="4"/>
          </w:tcPr>
          <w:p>
            <w:pPr>
              <w:jc w:val="center"/>
              <w:ind w:right="580"/>
              <w:spacing w:after="0"/>
              <w:rPr>
                <w:sz w:val="20"/>
                <w:szCs w:val="20"/>
                <w:color w:val="auto"/>
              </w:rPr>
            </w:pPr>
            <w:r>
              <w:rPr>
                <w:rFonts w:ascii="Arial" w:cs="Arial" w:eastAsia="Arial" w:hAnsi="Arial"/>
                <w:sz w:val="18"/>
                <w:szCs w:val="18"/>
                <w:color w:val="auto"/>
                <w:w w:val="93"/>
              </w:rPr>
              <w:t>Dr. Amit Goffer</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2780" w:type="dxa"/>
            <w:vAlign w:val="bottom"/>
            <w:tcBorders>
              <w:bottom w:val="single" w:sz="8" w:color="auto"/>
            </w:tcBorders>
            <w:gridSpan w:val="3"/>
          </w:tcPr>
          <w:p>
            <w:pPr>
              <w:jc w:val="center"/>
              <w:ind w:left="203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89"/>
              </w:rPr>
              <w:t>Chairman of the Board</w:t>
            </w:r>
          </w:p>
        </w:tc>
      </w:tr>
      <w:tr>
        <w:trPr>
          <w:trHeight w:val="217"/>
        </w:trPr>
        <w:tc>
          <w:tcPr>
            <w:tcW w:w="600" w:type="dxa"/>
            <w:vAlign w:val="bottom"/>
          </w:tcPr>
          <w:p>
            <w:pPr>
              <w:spacing w:after="0"/>
              <w:rPr>
                <w:sz w:val="18"/>
                <w:szCs w:val="18"/>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color w:val="auto"/>
                <w:w w:val="91"/>
              </w:rPr>
              <w:t>Jeff Dykan</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2780" w:type="dxa"/>
            <w:vAlign w:val="bottom"/>
            <w:tcBorders>
              <w:bottom w:val="single" w:sz="8" w:color="auto"/>
            </w:tcBorders>
            <w:gridSpan w:val="3"/>
          </w:tcPr>
          <w:p>
            <w:pPr>
              <w:jc w:val="center"/>
              <w:ind w:left="203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w:t>
            </w:r>
          </w:p>
        </w:tc>
      </w:tr>
      <w:tr>
        <w:trPr>
          <w:trHeight w:val="217"/>
        </w:trPr>
        <w:tc>
          <w:tcPr>
            <w:tcW w:w="600" w:type="dxa"/>
            <w:vAlign w:val="bottom"/>
          </w:tcPr>
          <w:p>
            <w:pPr>
              <w:spacing w:after="0"/>
              <w:rPr>
                <w:sz w:val="18"/>
                <w:szCs w:val="18"/>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color w:val="auto"/>
                <w:w w:val="87"/>
              </w:rPr>
              <w:t>Dr. Hadar Ron</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2780" w:type="dxa"/>
            <w:vAlign w:val="bottom"/>
            <w:tcBorders>
              <w:bottom w:val="single" w:sz="8" w:color="auto"/>
            </w:tcBorders>
            <w:gridSpan w:val="3"/>
          </w:tcPr>
          <w:p>
            <w:pPr>
              <w:jc w:val="center"/>
              <w:ind w:left="203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w:t>
            </w:r>
          </w:p>
        </w:tc>
      </w:tr>
      <w:tr>
        <w:trPr>
          <w:trHeight w:val="217"/>
        </w:trPr>
        <w:tc>
          <w:tcPr>
            <w:tcW w:w="600" w:type="dxa"/>
            <w:vAlign w:val="bottom"/>
          </w:tcPr>
          <w:p>
            <w:pPr>
              <w:spacing w:after="0"/>
              <w:rPr>
                <w:sz w:val="18"/>
                <w:szCs w:val="18"/>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color w:val="auto"/>
                <w:w w:val="88"/>
              </w:rPr>
              <w:t>Asaf Shinar</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2780" w:type="dxa"/>
            <w:vAlign w:val="bottom"/>
            <w:tcBorders>
              <w:bottom w:val="single" w:sz="8" w:color="auto"/>
            </w:tcBorders>
            <w:gridSpan w:val="3"/>
          </w:tcPr>
          <w:p>
            <w:pPr>
              <w:jc w:val="center"/>
              <w:ind w:left="203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w:t>
            </w:r>
          </w:p>
        </w:tc>
      </w:tr>
      <w:tr>
        <w:trPr>
          <w:trHeight w:val="217"/>
        </w:trPr>
        <w:tc>
          <w:tcPr>
            <w:tcW w:w="600" w:type="dxa"/>
            <w:vAlign w:val="bottom"/>
          </w:tcPr>
          <w:p>
            <w:pPr>
              <w:spacing w:after="0"/>
              <w:rPr>
                <w:sz w:val="18"/>
                <w:szCs w:val="18"/>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color w:val="auto"/>
                <w:w w:val="87"/>
              </w:rPr>
              <w:t>Wayne B. Weisman</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2780" w:type="dxa"/>
            <w:vAlign w:val="bottom"/>
            <w:tcBorders>
              <w:bottom w:val="single" w:sz="8" w:color="auto"/>
            </w:tcBorders>
            <w:gridSpan w:val="3"/>
          </w:tcPr>
          <w:p>
            <w:pPr>
              <w:jc w:val="center"/>
              <w:ind w:left="203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w:t>
            </w:r>
          </w:p>
        </w:tc>
      </w:tr>
      <w:tr>
        <w:trPr>
          <w:trHeight w:val="217"/>
        </w:trPr>
        <w:tc>
          <w:tcPr>
            <w:tcW w:w="600" w:type="dxa"/>
            <w:vAlign w:val="bottom"/>
          </w:tcPr>
          <w:p>
            <w:pPr>
              <w:spacing w:after="0"/>
              <w:rPr>
                <w:sz w:val="18"/>
                <w:szCs w:val="18"/>
                <w:color w:val="auto"/>
              </w:rPr>
            </w:pPr>
          </w:p>
        </w:tc>
        <w:tc>
          <w:tcPr>
            <w:tcW w:w="430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Yasushi Ichiki</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2780" w:type="dxa"/>
            <w:vAlign w:val="bottom"/>
            <w:tcBorders>
              <w:bottom w:val="single" w:sz="8" w:color="auto"/>
            </w:tcBorders>
            <w:gridSpan w:val="3"/>
          </w:tcPr>
          <w:p>
            <w:pPr>
              <w:jc w:val="center"/>
              <w:ind w:left="203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w:t>
            </w:r>
          </w:p>
        </w:tc>
      </w:tr>
      <w:tr>
        <w:trPr>
          <w:trHeight w:val="217"/>
        </w:trPr>
        <w:tc>
          <w:tcPr>
            <w:tcW w:w="600" w:type="dxa"/>
            <w:vAlign w:val="bottom"/>
          </w:tcPr>
          <w:p>
            <w:pPr>
              <w:spacing w:after="0"/>
              <w:rPr>
                <w:sz w:val="18"/>
                <w:szCs w:val="18"/>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color w:val="auto"/>
                <w:w w:val="91"/>
              </w:rPr>
              <w:t>Aryeh Dan</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2780" w:type="dxa"/>
            <w:vAlign w:val="bottom"/>
            <w:tcBorders>
              <w:bottom w:val="single" w:sz="8" w:color="auto"/>
            </w:tcBorders>
            <w:gridSpan w:val="3"/>
          </w:tcPr>
          <w:p>
            <w:pPr>
              <w:jc w:val="center"/>
              <w:ind w:left="203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w:t>
            </w:r>
          </w:p>
        </w:tc>
      </w:tr>
      <w:tr>
        <w:trPr>
          <w:trHeight w:val="217"/>
        </w:trPr>
        <w:tc>
          <w:tcPr>
            <w:tcW w:w="600" w:type="dxa"/>
            <w:vAlign w:val="bottom"/>
          </w:tcPr>
          <w:p>
            <w:pPr>
              <w:spacing w:after="0"/>
              <w:rPr>
                <w:sz w:val="18"/>
                <w:szCs w:val="18"/>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color w:val="auto"/>
                <w:w w:val="93"/>
              </w:rPr>
              <w:t>Glenn Muir</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25"/>
        </w:trPr>
        <w:tc>
          <w:tcPr>
            <w:tcW w:w="4900" w:type="dxa"/>
            <w:vAlign w:val="bottom"/>
            <w:gridSpan w:val="5"/>
          </w:tcPr>
          <w:p>
            <w:pPr>
              <w:spacing w:after="0"/>
              <w:rPr>
                <w:sz w:val="20"/>
                <w:szCs w:val="20"/>
                <w:color w:val="auto"/>
              </w:rPr>
            </w:pPr>
            <w:r>
              <w:rPr>
                <w:rFonts w:ascii="Arial" w:cs="Arial" w:eastAsia="Arial" w:hAnsi="Arial"/>
                <w:sz w:val="18"/>
                <w:szCs w:val="18"/>
                <w:color w:val="auto"/>
              </w:rPr>
              <w:t>*By:   /s/ Larry Jasinski</w:t>
            </w: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Larry Jasinski</w:t>
            </w: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Attorney-in-Fact</w:t>
            </w: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REWALK ROBOTICS, INC.</w:t>
            </w:r>
          </w:p>
        </w:tc>
        <w:tc>
          <w:tcPr>
            <w:tcW w:w="4840" w:type="dxa"/>
            <w:vAlign w:val="bottom"/>
          </w:tcPr>
          <w:p>
            <w:pPr>
              <w:ind w:left="1540"/>
              <w:spacing w:after="0"/>
              <w:rPr>
                <w:sz w:val="20"/>
                <w:szCs w:val="20"/>
                <w:color w:val="auto"/>
              </w:rPr>
            </w:pPr>
            <w:r>
              <w:rPr>
                <w:rFonts w:ascii="Arial" w:cs="Arial" w:eastAsia="Arial" w:hAnsi="Arial"/>
                <w:sz w:val="18"/>
                <w:szCs w:val="18"/>
                <w:color w:val="auto"/>
                <w:w w:val="87"/>
              </w:rPr>
              <w:t>Authorized Representative in the United States</w:t>
            </w: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Jasinski</w:t>
            </w:r>
          </w:p>
        </w:tc>
        <w:tc>
          <w:tcPr>
            <w:tcW w:w="4840" w:type="dxa"/>
            <w:vAlign w:val="bottom"/>
          </w:tcPr>
          <w:p>
            <w:pPr>
              <w:spacing w:after="0"/>
              <w:rPr>
                <w:sz w:val="24"/>
                <w:szCs w:val="24"/>
                <w:color w:val="auto"/>
              </w:rPr>
            </w:pP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Pr>
          <w:p>
            <w:pPr>
              <w:spacing w:after="0"/>
              <w:rPr>
                <w:sz w:val="20"/>
                <w:szCs w:val="20"/>
                <w:color w:val="auto"/>
              </w:rPr>
            </w:pPr>
            <w:r>
              <w:rPr>
                <w:rFonts w:ascii="Arial" w:cs="Arial" w:eastAsia="Arial" w:hAnsi="Arial"/>
                <w:sz w:val="18"/>
                <w:szCs w:val="18"/>
                <w:color w:val="auto"/>
              </w:rPr>
              <w:t>Larry Jasinski</w:t>
            </w:r>
          </w:p>
        </w:tc>
        <w:tc>
          <w:tcPr>
            <w:tcW w:w="4840" w:type="dxa"/>
            <w:vAlign w:val="bottom"/>
          </w:tcPr>
          <w:p>
            <w:pPr>
              <w:spacing w:after="0"/>
              <w:rPr>
                <w:sz w:val="18"/>
                <w:szCs w:val="18"/>
                <w:color w:val="auto"/>
              </w:rPr>
            </w:pPr>
          </w:p>
        </w:tc>
      </w:tr>
      <w:tr>
        <w:trPr>
          <w:trHeight w:val="23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4840" w:type="dxa"/>
            <w:vAlign w:val="bottom"/>
          </w:tcPr>
          <w:p>
            <w:pPr>
              <w:spacing w:after="0"/>
              <w:rPr>
                <w:sz w:val="20"/>
                <w:szCs w:val="20"/>
                <w:color w:val="auto"/>
              </w:rPr>
            </w:pPr>
          </w:p>
        </w:tc>
      </w:tr>
    </w:tbl>
    <w:p>
      <w:pPr>
        <w:sectPr>
          <w:pgSz w:w="11900" w:h="16838" w:orient="portrait"/>
          <w:cols w:equalWidth="0" w:num="1">
            <w:col w:w="10219"/>
          </w:cols>
          <w:pgMar w:left="240" w:top="460" w:right="1440"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26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100" w:type="dxa"/>
            <w:vAlign w:val="bottom"/>
          </w:tcPr>
          <w:p>
            <w:pPr>
              <w:spacing w:after="0"/>
              <w:rPr>
                <w:sz w:val="14"/>
                <w:szCs w:val="14"/>
                <w:color w:val="auto"/>
              </w:rPr>
            </w:pPr>
          </w:p>
        </w:tc>
      </w:tr>
      <w:tr>
        <w:trPr>
          <w:trHeight w:val="275"/>
        </w:trPr>
        <w:tc>
          <w:tcPr>
            <w:tcW w:w="460" w:type="dxa"/>
            <w:vAlign w:val="bottom"/>
          </w:tcPr>
          <w:p>
            <w:pPr>
              <w:ind w:left="160"/>
              <w:spacing w:after="0"/>
              <w:rPr>
                <w:sz w:val="20"/>
                <w:szCs w:val="20"/>
                <w:color w:val="auto"/>
              </w:rPr>
            </w:pPr>
            <w:r>
              <w:rPr>
                <w:rFonts w:ascii="Arial" w:cs="Arial" w:eastAsia="Arial" w:hAnsi="Arial"/>
                <w:sz w:val="18"/>
                <w:szCs w:val="18"/>
                <w:color w:val="auto"/>
              </w:rPr>
              <w:t>1.1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460" w:type="dxa"/>
            <w:vAlign w:val="bottom"/>
          </w:tcPr>
          <w:p>
            <w:pPr>
              <w:ind w:left="160"/>
              <w:spacing w:after="0"/>
              <w:rPr>
                <w:sz w:val="20"/>
                <w:szCs w:val="20"/>
                <w:color w:val="auto"/>
              </w:rPr>
            </w:pPr>
            <w:r>
              <w:rPr>
                <w:rFonts w:ascii="Arial" w:cs="Arial" w:eastAsia="Arial" w:hAnsi="Arial"/>
                <w:sz w:val="18"/>
                <w:szCs w:val="18"/>
                <w:color w:val="auto"/>
              </w:rPr>
              <w:t>3.1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Association of the Registrant</w:t>
            </w:r>
            <w:r>
              <w:rPr>
                <w:rFonts w:ascii="Arial" w:cs="Arial" w:eastAsia="Arial" w:hAnsi="Arial"/>
                <w:sz w:val="11"/>
                <w:szCs w:val="11"/>
                <w:color w:val="auto"/>
              </w:rPr>
              <w:t>#</w:t>
            </w:r>
          </w:p>
        </w:tc>
      </w:tr>
      <w:tr>
        <w:trPr>
          <w:trHeight w:val="284"/>
        </w:trPr>
        <w:tc>
          <w:tcPr>
            <w:tcW w:w="460" w:type="dxa"/>
            <w:vAlign w:val="bottom"/>
          </w:tcPr>
          <w:p>
            <w:pPr>
              <w:ind w:left="160"/>
              <w:spacing w:after="0"/>
              <w:rPr>
                <w:sz w:val="20"/>
                <w:szCs w:val="20"/>
                <w:color w:val="auto"/>
              </w:rPr>
            </w:pPr>
            <w:r>
              <w:rPr>
                <w:rFonts w:ascii="Arial" w:cs="Arial" w:eastAsia="Arial" w:hAnsi="Arial"/>
                <w:sz w:val="18"/>
                <w:szCs w:val="18"/>
                <w:color w:val="auto"/>
              </w:rPr>
              <w:t>3.2</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w w:val="92"/>
              </w:rPr>
              <w:t>Form of Second Amended and Restated Articles of Association of the Registrant to become effective upon closing of this offering</w:t>
            </w:r>
            <w:r>
              <w:rPr>
                <w:rFonts w:ascii="Arial" w:cs="Arial" w:eastAsia="Arial" w:hAnsi="Arial"/>
                <w:sz w:val="11"/>
                <w:szCs w:val="11"/>
                <w:color w:val="auto"/>
                <w:w w:val="92"/>
              </w:rPr>
              <w:t>#</w:t>
            </w:r>
          </w:p>
        </w:tc>
      </w:tr>
      <w:tr>
        <w:trPr>
          <w:trHeight w:val="284"/>
        </w:trPr>
        <w:tc>
          <w:tcPr>
            <w:tcW w:w="460" w:type="dxa"/>
            <w:vAlign w:val="bottom"/>
          </w:tcPr>
          <w:p>
            <w:pPr>
              <w:ind w:left="160"/>
              <w:spacing w:after="0"/>
              <w:rPr>
                <w:sz w:val="20"/>
                <w:szCs w:val="20"/>
                <w:color w:val="auto"/>
              </w:rPr>
            </w:pPr>
            <w:r>
              <w:rPr>
                <w:rFonts w:ascii="Arial" w:cs="Arial" w:eastAsia="Arial" w:hAnsi="Arial"/>
                <w:sz w:val="18"/>
                <w:szCs w:val="18"/>
                <w:color w:val="auto"/>
              </w:rPr>
              <w:t>4.1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Specimen share certificate</w:t>
            </w:r>
            <w:r>
              <w:rPr>
                <w:rFonts w:ascii="Arial" w:cs="Arial" w:eastAsia="Arial" w:hAnsi="Arial"/>
                <w:sz w:val="11"/>
                <w:szCs w:val="11"/>
                <w:color w:val="auto"/>
              </w:rPr>
              <w:t>#</w:t>
            </w:r>
          </w:p>
        </w:tc>
      </w:tr>
      <w:tr>
        <w:trPr>
          <w:trHeight w:val="284"/>
        </w:trPr>
        <w:tc>
          <w:tcPr>
            <w:tcW w:w="460" w:type="dxa"/>
            <w:vAlign w:val="bottom"/>
          </w:tcPr>
          <w:p>
            <w:pPr>
              <w:ind w:left="160"/>
              <w:spacing w:after="0"/>
              <w:rPr>
                <w:sz w:val="20"/>
                <w:szCs w:val="20"/>
                <w:color w:val="auto"/>
              </w:rPr>
            </w:pPr>
            <w:r>
              <w:rPr>
                <w:rFonts w:ascii="Arial" w:cs="Arial" w:eastAsia="Arial" w:hAnsi="Arial"/>
                <w:sz w:val="18"/>
                <w:szCs w:val="18"/>
                <w:color w:val="auto"/>
              </w:rPr>
              <w:t>5.1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w w:val="93"/>
              </w:rPr>
              <w:t>Opinion of Goldfarb Seligman &amp; Co., Israeli counsel to the Registrant, as to the validity of the ordinary shares (including consent)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Letter of Agreement, dated July 11, 2013, between the Registrant and Sanmina Corporation</w:t>
            </w:r>
            <w:r>
              <w:rPr>
                <w:rFonts w:ascii="Arial" w:cs="Arial" w:eastAsia="Arial" w:hAnsi="Arial"/>
                <w:sz w:val="11"/>
                <w:szCs w:val="11"/>
                <w:color w:val="auto"/>
              </w:rPr>
              <w:t>#</w:t>
            </w:r>
            <w:r>
              <w:rPr>
                <w:rFonts w:ascii="Arial" w:cs="Arial" w:eastAsia="Arial" w:hAnsi="Arial"/>
                <w:sz w:val="18"/>
                <w:szCs w:val="18"/>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10.2</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Strategic Alliance Agreement, dated September 24, 2013, between the Registrant and Yaskawa Electric Corporation</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10.3</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w w:val="98"/>
              </w:rPr>
              <w:t>Exclusive Distribution Agreement, dated September 24, 2013, between the Registrant and Yaskawa Electric Corporation</w:t>
            </w:r>
            <w:r>
              <w:rPr>
                <w:rFonts w:ascii="Arial" w:cs="Arial" w:eastAsia="Arial" w:hAnsi="Arial"/>
                <w:sz w:val="11"/>
                <w:szCs w:val="11"/>
                <w:color w:val="auto"/>
                <w:w w:val="98"/>
              </w:rPr>
              <w:t>#</w:t>
            </w:r>
            <w:r>
              <w:rPr>
                <w:rFonts w:ascii="Arial" w:cs="Arial" w:eastAsia="Arial" w:hAnsi="Arial"/>
                <w:sz w:val="18"/>
                <w:szCs w:val="18"/>
                <w:color w:val="auto"/>
                <w:w w:val="98"/>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10.4</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w w:val="89"/>
              </w:rPr>
              <w:t>Confidentiality and Non-Disclosure Agreement, dated September 24, 2013, between the Registrant and Yaskawa Electric Corporation</w:t>
            </w:r>
            <w:r>
              <w:rPr>
                <w:rFonts w:ascii="Arial" w:cs="Arial" w:eastAsia="Arial" w:hAnsi="Arial"/>
                <w:sz w:val="11"/>
                <w:szCs w:val="11"/>
                <w:color w:val="auto"/>
                <w:w w:val="89"/>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10.5</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Side Letter, dated September 30, 2013, between the Registrant and Yaskawa Electric Corporation</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10.6</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w w:val="88"/>
              </w:rPr>
              <w:t>Series D Preferred Share Purchase Agreement, dated September 24, 2013, among the Registrant and the other parties named therein</w:t>
            </w:r>
            <w:r>
              <w:rPr>
                <w:rFonts w:ascii="Arial" w:cs="Arial" w:eastAsia="Arial" w:hAnsi="Arial"/>
                <w:sz w:val="11"/>
                <w:szCs w:val="11"/>
                <w:color w:val="auto"/>
                <w:w w:val="88"/>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10.7</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w w:val="94"/>
              </w:rPr>
              <w:t>Series E Preferred Securities Purchase Agreement, dated June 26, 2014, among the Registrant and the parties named therein</w:t>
            </w:r>
            <w:r>
              <w:rPr>
                <w:rFonts w:ascii="Arial" w:cs="Arial" w:eastAsia="Arial" w:hAnsi="Arial"/>
                <w:sz w:val="11"/>
                <w:szCs w:val="11"/>
                <w:color w:val="auto"/>
                <w:w w:val="94"/>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10.8</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Loan Agreement, dated June 19, 2014, between the Registrant and Kreos Capital IV (Expert Fund) Limited</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10.9</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w w:val="87"/>
              </w:rPr>
              <w:t>Amended and Restated Shareholders’ Rights Agreement, dated July 14, 2014, among the Registrant and the other parties named therein</w:t>
            </w:r>
            <w:r>
              <w:rPr>
                <w:rFonts w:ascii="Arial" w:cs="Arial" w:eastAsia="Arial" w:hAnsi="Arial"/>
                <w:sz w:val="11"/>
                <w:szCs w:val="11"/>
                <w:color w:val="auto"/>
                <w:w w:val="87"/>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10.10</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w w:val="88"/>
              </w:rPr>
              <w:t>Fourth Amended and Restated Shareholders Agreement, dated July 14, 2014, among the Registrant and the shareholders party thereto</w:t>
            </w:r>
            <w:r>
              <w:rPr>
                <w:rFonts w:ascii="Arial" w:cs="Arial" w:eastAsia="Arial" w:hAnsi="Arial"/>
                <w:sz w:val="11"/>
                <w:szCs w:val="11"/>
                <w:color w:val="auto"/>
                <w:w w:val="88"/>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10.12</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2012 Equity Incentive Plan</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10.13</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2012 Israeli Equity Incentive Sub Plan</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10.14</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2012 U.S. Equity Incentive Sub Plan</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10.15</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2006 Stock Option Plan</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10.16</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2014 Equity Incentive Plan</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21.1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List of subsidiaries of the Registrant</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23.1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Consent of Kost, Forer, Gabbay and Kasierer, a member of Ernst &amp; Young Global Limited</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23.2</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Consent of Goldfarb Seligman &amp; Co. (included in Exhibit 5.1)</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24.1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Power of Attorney (included in signature page to Registration Statement)</w:t>
            </w:r>
            <w:r>
              <w:rPr>
                <w:rFonts w:ascii="Arial" w:cs="Arial" w:eastAsia="Arial" w:hAnsi="Arial"/>
                <w:sz w:val="11"/>
                <w:szCs w:val="11"/>
                <w:color w:val="auto"/>
              </w:rPr>
              <w: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ind w:left="660"/>
              <w:spacing w:after="0"/>
              <w:rPr>
                <w:sz w:val="20"/>
                <w:szCs w:val="20"/>
                <w:color w:val="auto"/>
              </w:rPr>
            </w:pPr>
            <w:r>
              <w:rPr>
                <w:rFonts w:ascii="Arial" w:cs="Arial" w:eastAsia="Arial" w:hAnsi="Arial"/>
                <w:sz w:val="18"/>
                <w:szCs w:val="18"/>
                <w:color w:val="auto"/>
              </w:rPr>
              <w:t>Consent of Dr. John William Poduska to be named as a director nominee</w:t>
            </w: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 pursuant to a confidential treatment request.</w:t>
      </w:r>
    </w:p>
    <w:p>
      <w:pPr>
        <w:sectPr>
          <w:pgSz w:w="11900" w:h="16838" w:orient="portrait"/>
          <w:cols w:equalWidth="0" w:num="1">
            <w:col w:w="10720"/>
          </w:cols>
          <w:pgMar w:left="240" w:top="459" w:right="9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Ordinary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680"/>
        <w:spacing w:after="0"/>
        <w:rPr>
          <w:sz w:val="20"/>
          <w:szCs w:val="20"/>
          <w:color w:val="auto"/>
        </w:rPr>
      </w:pPr>
      <w:r>
        <w:rPr>
          <w:rFonts w:ascii="Arial" w:cs="Arial" w:eastAsia="Arial" w:hAnsi="Arial"/>
          <w:sz w:val="17"/>
          <w:szCs w:val="17"/>
          <w:color w:val="auto"/>
        </w:rPr>
        <w:t>[—],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ARCLAYS</w:t>
      </w:r>
      <w:r>
        <w:rPr>
          <w:rFonts w:ascii="Arial" w:cs="Arial" w:eastAsia="Arial" w:hAnsi="Arial"/>
          <w:sz w:val="18"/>
          <w:szCs w:val="18"/>
          <w:color w:val="auto"/>
        </w:rPr>
        <w:t xml:space="preserve"> C</w:t>
      </w:r>
      <w:r>
        <w:rPr>
          <w:rFonts w:ascii="Arial" w:cs="Arial" w:eastAsia="Arial" w:hAnsi="Arial"/>
          <w:sz w:val="15"/>
          <w:szCs w:val="15"/>
          <w:color w:val="auto"/>
        </w:rPr>
        <w:t>APITAL</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ReWalk Robotics Ltd., a company organized under the laws of the State of Israel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sell [—] shares (the “</w:t>
      </w:r>
      <w:r>
        <w:rPr>
          <w:rFonts w:ascii="Arial" w:cs="Arial" w:eastAsia="Arial" w:hAnsi="Arial"/>
          <w:sz w:val="16"/>
          <w:szCs w:val="16"/>
          <w:b w:val="1"/>
          <w:bCs w:val="1"/>
          <w:i w:val="1"/>
          <w:iCs w:val="1"/>
          <w:color w:val="auto"/>
        </w:rPr>
        <w:t>Firm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ordinary shares, par value NIS 0.01 per share (the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In addition, the Company proposes to grant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named in Schedule I attached to this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 option to purchase up to [—] additional Ordinary Shares on the terms set forth in Section 2 (the “</w:t>
      </w:r>
      <w:r>
        <w:rPr>
          <w:rFonts w:ascii="Arial" w:cs="Arial" w:eastAsia="Arial" w:hAnsi="Arial"/>
          <w:sz w:val="16"/>
          <w:szCs w:val="16"/>
          <w:b w:val="1"/>
          <w:bCs w:val="1"/>
          <w:i w:val="1"/>
          <w:iCs w:val="1"/>
          <w:color w:val="auto"/>
        </w:rPr>
        <w:t>Option Shares</w:t>
      </w:r>
      <w:r>
        <w:rPr>
          <w:rFonts w:ascii="Arial" w:cs="Arial" w:eastAsia="Arial" w:hAnsi="Arial"/>
          <w:sz w:val="16"/>
          <w:szCs w:val="16"/>
          <w:color w:val="auto"/>
        </w:rPr>
        <w:t>”). The Firm Shares and the Option Shares, if purchased, are hereinafter collectively called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This Agreement is to confirm the agreement concerning the purchase of the Shares from the Company by the Underwriters.</w:t>
      </w:r>
    </w:p>
    <w:p>
      <w:pPr>
        <w:spacing w:after="0" w:line="158" w:lineRule="exact"/>
        <w:rPr>
          <w:sz w:val="20"/>
          <w:szCs w:val="20"/>
          <w:color w:val="auto"/>
        </w:rPr>
      </w:pPr>
    </w:p>
    <w:p>
      <w:pPr>
        <w:ind w:left="1100" w:hanging="179"/>
        <w:spacing w:after="0"/>
        <w:tabs>
          <w:tab w:leader="none" w:pos="11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Warranties and Agreements of the Company. </w:t>
      </w:r>
      <w:r>
        <w:rPr>
          <w:rFonts w:ascii="Arial" w:cs="Arial" w:eastAsia="Arial" w:hAnsi="Arial"/>
          <w:sz w:val="18"/>
          <w:szCs w:val="18"/>
          <w:color w:val="auto"/>
        </w:rPr>
        <w:t>The Company represents, warrants and agrees that:</w:t>
      </w:r>
    </w:p>
    <w:p>
      <w:pPr>
        <w:spacing w:after="0" w:line="117" w:lineRule="exact"/>
        <w:rPr>
          <w:sz w:val="20"/>
          <w:szCs w:val="20"/>
          <w:color w:val="auto"/>
        </w:rPr>
      </w:pPr>
    </w:p>
    <w:p>
      <w:pPr>
        <w:ind w:left="460" w:right="20" w:firstLine="443"/>
        <w:spacing w:after="0" w:line="257" w:lineRule="auto"/>
        <w:tabs>
          <w:tab w:leader="none" w:pos="114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registration statement on Form F-1 (File No. 333-197344) relating to the Shares has (i) been prepared by the Company in conformity with the requirements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the rules and regulations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thereunder; (ii) been filed with the Commission under the Securities Act; and (iii) become effective under the Securities Act. Copies of such registration statement and any amendment thereto have been delivered by the Company to you as the representatives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of the Underwriters. As used in this Agreement:</w:t>
      </w:r>
    </w:p>
    <w:p>
      <w:pPr>
        <w:spacing w:after="0" w:line="80" w:lineRule="exact"/>
        <w:rPr>
          <w:rFonts w:ascii="Arial" w:cs="Arial" w:eastAsia="Arial" w:hAnsi="Arial"/>
          <w:sz w:val="18"/>
          <w:szCs w:val="18"/>
          <w:color w:val="auto"/>
        </w:rPr>
      </w:pPr>
    </w:p>
    <w:p>
      <w:pPr>
        <w:ind w:left="1560" w:hanging="219"/>
        <w:spacing w:after="0"/>
        <w:tabs>
          <w:tab w:leader="none" w:pos="15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 [a.m.][p.m.] (New York City time) on [—], 2014;</w:t>
      </w:r>
    </w:p>
    <w:p>
      <w:pPr>
        <w:sectPr>
          <w:pgSz w:w="11900" w:h="16838" w:orient="portrait"/>
          <w:cols w:equalWidth="0" w:num="1">
            <w:col w:w="11420"/>
          </w:cols>
          <w:pgMar w:left="240" w:top="121" w:right="239" w:bottom="1440" w:gutter="0" w:footer="0" w:header="0"/>
        </w:sectPr>
      </w:pPr>
    </w:p>
    <w:bookmarkStart w:id="182" w:name="page183"/>
    <w:bookmarkEnd w:id="182"/>
    <w:p>
      <w:pPr>
        <w:ind w:left="880" w:right="560" w:firstLine="421"/>
        <w:spacing w:after="0" w:line="277" w:lineRule="auto"/>
        <w:tabs>
          <w:tab w:leader="none" w:pos="1565"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and time as of which such registration statement[, or the most recent post-effective amendment thereto,] was declared effective by the Commission;</w:t>
      </w:r>
    </w:p>
    <w:p>
      <w:pPr>
        <w:spacing w:after="0" w:line="62" w:lineRule="exact"/>
        <w:rPr>
          <w:rFonts w:ascii="Arial" w:cs="Arial" w:eastAsia="Arial" w:hAnsi="Arial"/>
          <w:sz w:val="18"/>
          <w:szCs w:val="18"/>
          <w:color w:val="auto"/>
        </w:rPr>
      </w:pPr>
    </w:p>
    <w:p>
      <w:pPr>
        <w:ind w:left="1620" w:hanging="319"/>
        <w:spacing w:after="0"/>
        <w:tabs>
          <w:tab w:leader="none" w:pos="16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means each “issuer free writing prospectus” (as defined in Rule 433 under the Securities Act);</w:t>
      </w:r>
    </w:p>
    <w:p>
      <w:pPr>
        <w:spacing w:after="0" w:line="140" w:lineRule="exact"/>
        <w:rPr>
          <w:rFonts w:ascii="Arial" w:cs="Arial" w:eastAsia="Arial" w:hAnsi="Arial"/>
          <w:sz w:val="16"/>
          <w:szCs w:val="16"/>
          <w:color w:val="auto"/>
        </w:rPr>
      </w:pPr>
    </w:p>
    <w:p>
      <w:pPr>
        <w:ind w:left="880" w:firstLine="421"/>
        <w:spacing w:after="0" w:line="277" w:lineRule="auto"/>
        <w:tabs>
          <w:tab w:leader="none" w:pos="16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under the Securities Act;</w:t>
      </w:r>
    </w:p>
    <w:p>
      <w:pPr>
        <w:spacing w:after="0" w:line="62" w:lineRule="exact"/>
        <w:rPr>
          <w:rFonts w:ascii="Arial" w:cs="Arial" w:eastAsia="Arial" w:hAnsi="Arial"/>
          <w:sz w:val="18"/>
          <w:szCs w:val="18"/>
          <w:color w:val="auto"/>
        </w:rPr>
      </w:pPr>
    </w:p>
    <w:p>
      <w:pPr>
        <w:ind w:left="880" w:firstLine="421"/>
        <w:spacing w:after="0" w:line="312" w:lineRule="auto"/>
        <w:tabs>
          <w:tab w:leader="none" w:pos="155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Pricing Disclosure Package</w:t>
      </w:r>
      <w:r>
        <w:rPr>
          <w:rFonts w:ascii="Arial" w:cs="Arial" w:eastAsia="Arial" w:hAnsi="Arial"/>
          <w:sz w:val="16"/>
          <w:szCs w:val="16"/>
          <w:color w:val="auto"/>
        </w:rPr>
        <w:t>” means, as of the Applicable Time, the most recent Preliminary Prospectus, together with the information included in Schedule III hereto and each Issuer Free Writing Prospectus filed or used by the Company on or before the Applicable Time, other than a road show that is an Issuer Free Writing Prospectus but is not required to be filed under Rule 433 under the Securities Act;</w:t>
      </w:r>
    </w:p>
    <w:p>
      <w:pPr>
        <w:spacing w:after="0" w:line="38" w:lineRule="exact"/>
        <w:rPr>
          <w:rFonts w:ascii="Arial" w:cs="Arial" w:eastAsia="Arial" w:hAnsi="Arial"/>
          <w:sz w:val="16"/>
          <w:szCs w:val="16"/>
          <w:color w:val="auto"/>
        </w:rPr>
      </w:pPr>
    </w:p>
    <w:p>
      <w:pPr>
        <w:ind w:left="880" w:right="560" w:firstLine="421"/>
        <w:spacing w:after="0" w:line="277" w:lineRule="auto"/>
        <w:tabs>
          <w:tab w:leader="none" w:pos="16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final prospectus relating to the Shares, as filed with the Commission pursuant to Rule 424(b) under the Securities Act;</w:t>
      </w:r>
    </w:p>
    <w:p>
      <w:pPr>
        <w:spacing w:after="0" w:line="62" w:lineRule="exact"/>
        <w:rPr>
          <w:rFonts w:ascii="Arial" w:cs="Arial" w:eastAsia="Arial" w:hAnsi="Arial"/>
          <w:sz w:val="18"/>
          <w:szCs w:val="18"/>
          <w:color w:val="auto"/>
        </w:rPr>
      </w:pPr>
    </w:p>
    <w:p>
      <w:pPr>
        <w:ind w:left="880" w:right="120" w:firstLine="421"/>
        <w:spacing w:after="0" w:line="286" w:lineRule="auto"/>
        <w:tabs>
          <w:tab w:leader="none" w:pos="165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means the registration statement on Form F-1 (File No. 333-197344), as amended as of the Effective Date, including any Preliminary Prospectus or the Prospectus, all exhibits to such registration statement and including the information deemed by virtue of Rule 430A under the Securities Act to be part of such registration statement as of the Effective Date;</w:t>
      </w:r>
    </w:p>
    <w:p>
      <w:pPr>
        <w:spacing w:after="0" w:line="57" w:lineRule="exact"/>
        <w:rPr>
          <w:rFonts w:ascii="Arial" w:cs="Arial" w:eastAsia="Arial" w:hAnsi="Arial"/>
          <w:sz w:val="17"/>
          <w:szCs w:val="17"/>
          <w:color w:val="auto"/>
        </w:rPr>
      </w:pPr>
    </w:p>
    <w:p>
      <w:pPr>
        <w:ind w:left="880" w:right="180" w:firstLine="421"/>
        <w:spacing w:after="0" w:line="277" w:lineRule="auto"/>
        <w:tabs>
          <w:tab w:leader="none" w:pos="17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and</w:t>
      </w:r>
    </w:p>
    <w:p>
      <w:pPr>
        <w:spacing w:after="0" w:line="62" w:lineRule="exact"/>
        <w:rPr>
          <w:rFonts w:ascii="Arial" w:cs="Arial" w:eastAsia="Arial" w:hAnsi="Arial"/>
          <w:sz w:val="18"/>
          <w:szCs w:val="18"/>
          <w:color w:val="auto"/>
        </w:rPr>
      </w:pPr>
    </w:p>
    <w:p>
      <w:pPr>
        <w:ind w:left="880" w:right="100" w:firstLine="421"/>
        <w:spacing w:after="0" w:line="277" w:lineRule="auto"/>
        <w:tabs>
          <w:tab w:leader="none" w:pos="16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62" w:lineRule="exact"/>
        <w:rPr>
          <w:sz w:val="20"/>
          <w:szCs w:val="20"/>
          <w:color w:val="auto"/>
        </w:rPr>
      </w:pPr>
    </w:p>
    <w:p>
      <w:pPr>
        <w:ind w:left="420"/>
        <w:spacing w:after="0" w:line="302" w:lineRule="auto"/>
        <w:rPr>
          <w:sz w:val="20"/>
          <w:szCs w:val="20"/>
          <w:color w:val="auto"/>
        </w:rPr>
      </w:pPr>
      <w:r>
        <w:rPr>
          <w:rFonts w:ascii="Arial" w:cs="Arial" w:eastAsia="Arial" w:hAnsi="Arial"/>
          <w:sz w:val="16"/>
          <w:szCs w:val="16"/>
          <w:color w:val="auto"/>
        </w:rPr>
        <w:t>Any reference to the “</w:t>
      </w:r>
      <w:r>
        <w:rPr>
          <w:rFonts w:ascii="Arial" w:cs="Arial" w:eastAsia="Arial" w:hAnsi="Arial"/>
          <w:sz w:val="16"/>
          <w:szCs w:val="16"/>
          <w:b w:val="1"/>
          <w:bCs w:val="1"/>
          <w:i w:val="1"/>
          <w:iCs w:val="1"/>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under the Securities Act prior to or on the date hereof. The Commission has not issued any order preventing or suspending the use of any Preliminary Prospectus or the Prospectus or suspending the effectiveness of the Registration Statement, and no proceeding or examination for such purpose has been instituted or, to the Company’s knowledge, threatened by the Commission.</w:t>
      </w:r>
    </w:p>
    <w:p>
      <w:pPr>
        <w:spacing w:after="0" w:line="154" w:lineRule="exact"/>
        <w:rPr>
          <w:sz w:val="20"/>
          <w:szCs w:val="20"/>
          <w:color w:val="auto"/>
        </w:rPr>
      </w:pPr>
    </w:p>
    <w:p>
      <w:pPr>
        <w:ind w:left="-40" w:right="20" w:firstLine="464"/>
        <w:spacing w:after="0" w:line="277" w:lineRule="auto"/>
        <w:tabs>
          <w:tab w:leader="none" w:pos="67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(or, if earlier, the first date on which the Company engaged directly or through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4" w:right="279" w:bottom="1440" w:gutter="0" w:footer="0" w:header="0"/>
        </w:sectPr>
      </w:pPr>
    </w:p>
    <w:bookmarkStart w:id="183" w:name="page184"/>
    <w:bookmarkEnd w:id="183"/>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 authorized to act on its behalf in any Testing-the-Waters Communication) through the date hereof, the Company has been, is and will be an “emerging growth company,” as defined in Section 2(a) of the Securities Act (an “</w:t>
      </w:r>
      <w:r>
        <w:rPr>
          <w:rFonts w:ascii="Arial" w:cs="Arial" w:eastAsia="Arial" w:hAnsi="Arial"/>
          <w:sz w:val="18"/>
          <w:szCs w:val="18"/>
          <w:b w:val="1"/>
          <w:bCs w:val="1"/>
          <w:i w:val="1"/>
          <w:iCs w:val="1"/>
          <w:color w:val="auto"/>
        </w:rPr>
        <w:t>Emerging Growth Company</w:t>
      </w:r>
      <w:r>
        <w:rPr>
          <w:rFonts w:ascii="Arial" w:cs="Arial" w:eastAsia="Arial" w:hAnsi="Arial"/>
          <w:sz w:val="18"/>
          <w:szCs w:val="18"/>
          <w:color w:val="auto"/>
        </w:rPr>
        <w:t>”).</w:t>
      </w:r>
    </w:p>
    <w:p>
      <w:pPr>
        <w:spacing w:after="0" w:line="170" w:lineRule="exact"/>
        <w:rPr>
          <w:sz w:val="20"/>
          <w:szCs w:val="20"/>
          <w:color w:val="auto"/>
        </w:rPr>
      </w:pPr>
    </w:p>
    <w:p>
      <w:pPr>
        <w:ind w:firstLine="464"/>
        <w:spacing w:after="0" w:line="255"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(i) has not engaged in any Testing-the-Waters Communication other than Testing-the-Waters Communications with the consent of the Representatives with entities that are reasonably believed to be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Schedule VI hereto.</w:t>
      </w:r>
    </w:p>
    <w:p>
      <w:pPr>
        <w:spacing w:after="0" w:line="193" w:lineRule="exact"/>
        <w:rPr>
          <w:rFonts w:ascii="Arial" w:cs="Arial" w:eastAsia="Arial" w:hAnsi="Arial"/>
          <w:sz w:val="18"/>
          <w:szCs w:val="18"/>
          <w:color w:val="auto"/>
        </w:rPr>
      </w:pPr>
    </w:p>
    <w:p>
      <w:pPr>
        <w:ind w:right="240" w:firstLine="464"/>
        <w:spacing w:after="0" w:line="286" w:lineRule="auto"/>
        <w:tabs>
          <w:tab w:leader="none" w:pos="71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under the Securities Act) of the Shares, is not on the date hereof and will not be on the applicable Delivery Date (as defined herein), an “ineligible issuer” (as defined in Rule 405 under the Securities Act).</w:t>
      </w:r>
    </w:p>
    <w:p>
      <w:pPr>
        <w:spacing w:after="0" w:line="165" w:lineRule="exact"/>
        <w:rPr>
          <w:rFonts w:ascii="Arial" w:cs="Arial" w:eastAsia="Arial" w:hAnsi="Arial"/>
          <w:sz w:val="17"/>
          <w:szCs w:val="17"/>
          <w:color w:val="auto"/>
        </w:rPr>
      </w:pPr>
    </w:p>
    <w:p>
      <w:pPr>
        <w:ind w:right="40" w:firstLine="464"/>
        <w:spacing w:after="0" w:line="257"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w:t>
      </w:r>
    </w:p>
    <w:p>
      <w:pPr>
        <w:spacing w:after="0" w:line="188" w:lineRule="exact"/>
        <w:rPr>
          <w:rFonts w:ascii="Arial" w:cs="Arial" w:eastAsia="Arial" w:hAnsi="Arial"/>
          <w:sz w:val="18"/>
          <w:szCs w:val="18"/>
          <w:color w:val="auto"/>
        </w:rPr>
      </w:pPr>
    </w:p>
    <w:p>
      <w:pPr>
        <w:ind w:right="20" w:firstLine="464"/>
        <w:spacing w:after="0" w:line="302" w:lineRule="auto"/>
        <w:tabs>
          <w:tab w:leader="none" w:pos="68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8(e).</w:t>
      </w:r>
    </w:p>
    <w:p>
      <w:pPr>
        <w:spacing w:after="0" w:line="154" w:lineRule="exact"/>
        <w:rPr>
          <w:rFonts w:ascii="Arial" w:cs="Arial" w:eastAsia="Arial" w:hAnsi="Arial"/>
          <w:sz w:val="16"/>
          <w:szCs w:val="16"/>
          <w:color w:val="auto"/>
        </w:rPr>
      </w:pPr>
    </w:p>
    <w:p>
      <w:pPr>
        <w:ind w:firstLine="464"/>
        <w:spacing w:after="0" w:line="302" w:lineRule="auto"/>
        <w:tabs>
          <w:tab w:leader="none" w:pos="71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8(e).</w:t>
      </w:r>
    </w:p>
    <w:p>
      <w:pPr>
        <w:spacing w:after="0" w:line="154" w:lineRule="exact"/>
        <w:rPr>
          <w:rFonts w:ascii="Arial" w:cs="Arial" w:eastAsia="Arial" w:hAnsi="Arial"/>
          <w:sz w:val="16"/>
          <w:szCs w:val="16"/>
          <w:color w:val="auto"/>
        </w:rPr>
      </w:pPr>
    </w:p>
    <w:p>
      <w:pPr>
        <w:ind w:right="320" w:firstLine="464"/>
        <w:spacing w:after="0" w:line="277"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Pricing Disclosure Package did not, as of the Applicable Time, contain an untrue statement of a material fact or omit to state a material fact necessary to make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84" w:name="page185"/>
    <w:bookmarkEnd w:id="184"/>
    <w:p>
      <w:pPr>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the Pricing Disclosure Package in reliance upon and in conformity with written information furnished to the Company through the Representatives by or on behalf of any Underwriter specifically for inclusion therein, which information is specified in Section 8(e).</w:t>
      </w:r>
    </w:p>
    <w:p>
      <w:pPr>
        <w:spacing w:after="0" w:line="147" w:lineRule="exact"/>
        <w:rPr>
          <w:sz w:val="20"/>
          <w:szCs w:val="20"/>
          <w:color w:val="auto"/>
        </w:rPr>
      </w:pPr>
    </w:p>
    <w:p>
      <w:pPr>
        <w:ind w:right="60" w:firstLine="464"/>
        <w:spacing w:after="0" w:line="297" w:lineRule="auto"/>
        <w:tabs>
          <w:tab w:leader="none" w:pos="67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Each Issuer Free Writing Prospectus listed in Schedule 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such Issuer Free Writing Prospectus listed in Schedule IV hereto in reliance upon and in conformity with written information furnished to the Company through the Representatives by or on behalf of any Underwriter specifically for inclusion therein, which information is specified in Section 8(e).</w:t>
      </w:r>
    </w:p>
    <w:p>
      <w:pPr>
        <w:spacing w:after="0" w:line="158" w:lineRule="exact"/>
        <w:rPr>
          <w:rFonts w:ascii="Arial" w:cs="Arial" w:eastAsia="Arial" w:hAnsi="Arial"/>
          <w:sz w:val="16"/>
          <w:szCs w:val="16"/>
          <w:color w:val="auto"/>
        </w:rPr>
      </w:pPr>
    </w:p>
    <w:p>
      <w:pPr>
        <w:ind w:firstLine="464"/>
        <w:spacing w:after="0" w:line="270" w:lineRule="auto"/>
        <w:tabs>
          <w:tab w:leader="none" w:pos="67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Each Written Testing-the-Waters Communication did not, as of the Applicable Time, when taken together with the Pricing Disclosure Package, contain an untrue statement of a material fact or omit to state a material fact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representation or warranty is made as to information contained in or omitted from the Pricing Disclosure Package or from such Written Testing-the-Waters Communication listed on Schedule VI hereto in reliance upon and in conformity with written information furnished to the Company through the Representatives by or on behalf of any Underwriter specifically for inclusion therein, which information is specified in Section 8(e); and the Company has filed publicly on the Electronic Data Gathering, Analysis and Retrieval system at least 21 calendar days prior to any “road show” (as defined in Rule 433 under the Securities Act), any confidentially submitted registration statement and registration statement amendments relating to the offer and sale of the Shares. Each Written Testing-the-Waters Communications did not, as of the Applicable Time, and at all times through the completion of the public offer and sale of the Shares will not, include any information that conflicted, conflicts or will conflict with the information contained in the Registration Statement, the Pricing Disclosure Package or the Prospectus.</w:t>
      </w:r>
    </w:p>
    <w:p>
      <w:pPr>
        <w:spacing w:after="0" w:line="177" w:lineRule="exact"/>
        <w:rPr>
          <w:rFonts w:ascii="Arial" w:cs="Arial" w:eastAsia="Arial" w:hAnsi="Arial"/>
          <w:sz w:val="17"/>
          <w:szCs w:val="17"/>
          <w:color w:val="auto"/>
        </w:rPr>
      </w:pPr>
    </w:p>
    <w:p>
      <w:pPr>
        <w:ind w:right="60" w:firstLine="464"/>
        <w:spacing w:after="0" w:line="271" w:lineRule="auto"/>
        <w:tabs>
          <w:tab w:leader="none" w:pos="71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Shares that would constitute an Issuer Free Writing Prospectus without the prior written consent of the Representatives [, except as set forth on Schedule V hereto].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the Shares will not be required to be filed pursuant to the Securities Act and the rules and regulations thereunder.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85" w:name="page186"/>
    <w:bookmarkEnd w:id="185"/>
    <w:p>
      <w:pPr>
        <w:ind w:left="-20" w:firstLine="464"/>
        <w:spacing w:after="0" w:line="253" w:lineRule="auto"/>
        <w:tabs>
          <w:tab w:leader="none" w:pos="651"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been duly organized, is validly existing and in good standing (where such concept is applicable)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would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8"/>
          <w:szCs w:val="18"/>
          <w:b w:val="1"/>
          <w:bCs w:val="1"/>
          <w:i w:val="1"/>
          <w:i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Adverse Effect</w:t>
      </w:r>
      <w:r>
        <w:rPr>
          <w:rFonts w:ascii="Arial" w:cs="Arial" w:eastAsia="Arial" w:hAnsi="Arial"/>
          <w:sz w:val="18"/>
          <w:szCs w:val="18"/>
          <w:color w:val="auto"/>
        </w:rPr>
        <w:t>”). The Company has all power and authority necessary to own or hold its properties and to conduct the businesses in which it is engaged.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does not own or control, directly or indirectly, any corporation, association or other entity other than the subsidiaries listed in Exhibit 21.1 to the Registration Statement. None of the subsidiaries of the Company is a “significant subsidiary” (as defined in Rule 405 under the Securities Act). The Company is not currently designated as a “breaching company” (within the meaning of the Israeli Companies Law 5759-1999) by the Registrar of Companies of the State of Israel.</w:t>
      </w:r>
    </w:p>
    <w:p>
      <w:pPr>
        <w:spacing w:after="0" w:line="194" w:lineRule="exact"/>
        <w:rPr>
          <w:rFonts w:ascii="Arial" w:cs="Arial" w:eastAsia="Arial" w:hAnsi="Arial"/>
          <w:sz w:val="18"/>
          <w:szCs w:val="18"/>
          <w:color w:val="auto"/>
        </w:rPr>
      </w:pPr>
    </w:p>
    <w:p>
      <w:pPr>
        <w:ind w:left="-20" w:right="20" w:firstLine="464"/>
        <w:spacing w:after="0" w:line="270" w:lineRule="auto"/>
        <w:tabs>
          <w:tab w:leader="none" w:pos="74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each of the most recent Preliminary Prospectus and the Prospectus, and all of the issued shares of capital stock of the Company have been duly authorized and validly issued, are fully paid and non-assessable, conform in all material respects to the description thereof contained in the most recent Preliminary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Except as disclosed in the most recent Preliminary Prospectus, all of the issued shares of capital stock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spacing w:after="0" w:line="181" w:lineRule="exact"/>
        <w:rPr>
          <w:rFonts w:ascii="Arial" w:cs="Arial" w:eastAsia="Arial" w:hAnsi="Arial"/>
          <w:sz w:val="17"/>
          <w:szCs w:val="17"/>
          <w:color w:val="auto"/>
        </w:rPr>
      </w:pPr>
    </w:p>
    <w:p>
      <w:pPr>
        <w:ind w:left="-20" w:right="420" w:firstLine="464"/>
        <w:spacing w:after="0" w:line="259" w:lineRule="auto"/>
        <w:tabs>
          <w:tab w:leader="none" w:pos="69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most recent Preliminary Prospectus, will be issued in compliance with federal and state securities laws and will be free of statutory and contractual preemptive rights, rights of first refusal and similar rights.</w:t>
      </w:r>
    </w:p>
    <w:p>
      <w:pPr>
        <w:spacing w:after="0" w:line="186" w:lineRule="exact"/>
        <w:rPr>
          <w:rFonts w:ascii="Arial" w:cs="Arial" w:eastAsia="Arial" w:hAnsi="Arial"/>
          <w:sz w:val="18"/>
          <w:szCs w:val="18"/>
          <w:color w:val="auto"/>
        </w:rPr>
      </w:pPr>
    </w:p>
    <w:p>
      <w:pPr>
        <w:ind w:left="-20" w:right="160" w:firstLine="464"/>
        <w:spacing w:after="0" w:line="277" w:lineRule="auto"/>
        <w:tabs>
          <w:tab w:leader="none" w:pos="69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grants and issuances of the Company’s shares to its, or its subsidiaries’, employees were made pursuant to the stock-based compensation plans of the Company and its subsidiaries.</w:t>
      </w:r>
    </w:p>
    <w:p>
      <w:pPr>
        <w:spacing w:after="0" w:line="170" w:lineRule="exact"/>
        <w:rPr>
          <w:rFonts w:ascii="Arial" w:cs="Arial" w:eastAsia="Arial" w:hAnsi="Arial"/>
          <w:sz w:val="18"/>
          <w:szCs w:val="18"/>
          <w:color w:val="auto"/>
        </w:rPr>
      </w:pPr>
    </w:p>
    <w:p>
      <w:pPr>
        <w:ind w:left="-20" w:right="60" w:firstLine="464"/>
        <w:spacing w:after="0" w:line="277" w:lineRule="auto"/>
        <w:tabs>
          <w:tab w:leader="none" w:pos="69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4" w:right="239" w:bottom="1440" w:gutter="0" w:footer="0" w:header="0"/>
        </w:sectPr>
      </w:pPr>
    </w:p>
    <w:bookmarkStart w:id="186" w:name="page187"/>
    <w:bookmarkEnd w:id="186"/>
    <w:p>
      <w:pPr>
        <w:ind w:left="-20" w:right="40" w:firstLine="464"/>
        <w:spacing w:after="0" w:line="288" w:lineRule="auto"/>
        <w:tabs>
          <w:tab w:leader="none" w:pos="691"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 and sale of the Shares, the execution, delivery and performance of this Agreement by the Company, the consummation of the transactions contemplated hereby and the application of the proceeds from the sale of the Shares as described under “Use of Proceeds” in the most recent Preliminary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169" w:lineRule="exact"/>
        <w:rPr>
          <w:rFonts w:ascii="Arial" w:cs="Arial" w:eastAsia="Arial" w:hAnsi="Arial"/>
          <w:sz w:val="16"/>
          <w:szCs w:val="16"/>
          <w:color w:val="auto"/>
        </w:rPr>
      </w:pPr>
    </w:p>
    <w:p>
      <w:pPr>
        <w:ind w:left="-20" w:right="20" w:firstLine="464"/>
        <w:spacing w:after="0" w:line="293" w:lineRule="auto"/>
        <w:tabs>
          <w:tab w:leader="none" w:pos="66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the performance or observance of any instrument of approval granted to it by the Office of the Chief Scientist of the Ministry of Economy of the State of Israel (the “</w:t>
      </w:r>
      <w:r>
        <w:rPr>
          <w:rFonts w:ascii="Arial" w:cs="Arial" w:eastAsia="Arial" w:hAnsi="Arial"/>
          <w:sz w:val="16"/>
          <w:szCs w:val="16"/>
          <w:b w:val="1"/>
          <w:bCs w:val="1"/>
          <w:i w:val="1"/>
          <w:iCs w:val="1"/>
          <w:color w:val="auto"/>
        </w:rPr>
        <w:t>Chief Scientist</w:t>
      </w:r>
      <w:r>
        <w:rPr>
          <w:rFonts w:ascii="Arial" w:cs="Arial" w:eastAsia="Arial" w:hAnsi="Arial"/>
          <w:sz w:val="16"/>
          <w:szCs w:val="16"/>
          <w:color w:val="auto"/>
        </w:rPr>
        <w:t>”) nor (ii) is in violation with respect to any instrument of approval granted to it by the Investment Center of the Ministry of Economy of the State of Israel (the “</w:t>
      </w:r>
      <w:r>
        <w:rPr>
          <w:rFonts w:ascii="Arial" w:cs="Arial" w:eastAsia="Arial" w:hAnsi="Arial"/>
          <w:sz w:val="16"/>
          <w:szCs w:val="16"/>
          <w:b w:val="1"/>
          <w:bCs w:val="1"/>
          <w:i w:val="1"/>
          <w:iCs w:val="1"/>
          <w:color w:val="auto"/>
        </w:rPr>
        <w:t>Investment Center</w:t>
      </w:r>
      <w:r>
        <w:rPr>
          <w:rFonts w:ascii="Arial" w:cs="Arial" w:eastAsia="Arial" w:hAnsi="Arial"/>
          <w:sz w:val="16"/>
          <w:szCs w:val="16"/>
          <w:color w:val="auto"/>
        </w:rPr>
        <w:t>”), except for such violations that would not, singly or in the aggregate, be reasonably expected to result in a Material Adverse Effect. The Company has not received from the Investment Center any notice denying, revoking or adversely modifying any “approved enterprise” or “benefited enterprise” or “preferred enterprise” status with respect to any of the Company’s facilities or operations (including, in all such cases, notice of proceedings or investigations related thereto).</w:t>
      </w:r>
    </w:p>
    <w:p>
      <w:pPr>
        <w:spacing w:after="0" w:line="164" w:lineRule="exact"/>
        <w:rPr>
          <w:rFonts w:ascii="Arial" w:cs="Arial" w:eastAsia="Arial" w:hAnsi="Arial"/>
          <w:sz w:val="16"/>
          <w:szCs w:val="16"/>
          <w:color w:val="auto"/>
        </w:rPr>
      </w:pPr>
    </w:p>
    <w:p>
      <w:pPr>
        <w:ind w:left="-20" w:firstLine="464"/>
        <w:spacing w:after="0" w:line="269" w:lineRule="auto"/>
        <w:tabs>
          <w:tab w:leader="none" w:pos="67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Subject to the Underwriters’ compliance with their obligations under Section 3 of this Agreement, 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most recent Preliminary Prospectus, except for (i) the registration of the Shares under the Securities Act; (ii) such consents, approvals, authorizations, orders, filings, registrations or qualifications as may be required under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applicable state or foreign securities laws and/or the bylaws and rules of the Financial Industry Regulatory Authority (the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in connection with the purchase and sale of the Shares by the Underwriters; (iii) the filing of certain information with the Registrar of Companies in the State of Israel and the Bank of Israel, in each case following the closing of the Offering, regarding the issuance of the Shares; (iv) the approval of the Chief Scientist; (v) the listing of the Shares on the Nasdaq Global Market; and (vi) such consents, approvals, authorizations, orders, filings, registrations or qualifications, which, if not obtained, would not, individually or in the aggregate, reasonably be expected to result in a Material Adverse Effect or materially impair the ability of the Company to consummate the transactions contemplated by the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187" w:name="page188"/>
    <w:bookmarkEnd w:id="187"/>
    <w:p>
      <w:pPr>
        <w:ind w:left="-40" w:firstLine="464"/>
        <w:spacing w:after="0" w:line="257" w:lineRule="auto"/>
        <w:tabs>
          <w:tab w:leader="none" w:pos="631"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historical financial statements (including the related notes and supporting schedules) included in the most recent Preliminary Prospectus comply as to form in all material respects with the requirements of Regulation S-X under the Securities Act (“</w:t>
      </w:r>
      <w:r>
        <w:rPr>
          <w:rFonts w:ascii="Arial" w:cs="Arial" w:eastAsia="Arial" w:hAnsi="Arial"/>
          <w:sz w:val="18"/>
          <w:szCs w:val="18"/>
          <w:b w:val="1"/>
          <w:bCs w:val="1"/>
          <w:i w:val="1"/>
          <w:iCs w:val="1"/>
          <w:color w:val="auto"/>
        </w:rPr>
        <w:t>Regulation S-X</w:t>
      </w:r>
      <w:r>
        <w:rPr>
          <w:rFonts w:ascii="Arial" w:cs="Arial" w:eastAsia="Arial" w:hAnsi="Arial"/>
          <w:sz w:val="18"/>
          <w:szCs w:val="18"/>
          <w:color w:val="auto"/>
        </w:rPr>
        <w: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188" w:lineRule="exact"/>
        <w:rPr>
          <w:rFonts w:ascii="Arial" w:cs="Arial" w:eastAsia="Arial" w:hAnsi="Arial"/>
          <w:sz w:val="18"/>
          <w:szCs w:val="18"/>
          <w:color w:val="auto"/>
        </w:rPr>
      </w:pPr>
    </w:p>
    <w:p>
      <w:pPr>
        <w:ind w:left="-40" w:right="20" w:firstLine="464"/>
        <w:spacing w:after="0" w:line="286" w:lineRule="auto"/>
        <w:tabs>
          <w:tab w:leader="none" w:pos="67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Kost, Forer, Gabbay and Kasierer, a member of Ernst &amp; Young Global Limited, who have certified certain financial statements of the Company and its consolidated subsidiaries, whose report appears in the most recent Preliminary Prospectus and who have delivered the initial letter referred to in Section 7(i) hereof, are independent public accountants as required by the Securities Act and the rules and regulations thereunder.</w:t>
      </w:r>
    </w:p>
    <w:p>
      <w:pPr>
        <w:spacing w:after="0" w:line="165" w:lineRule="exact"/>
        <w:rPr>
          <w:rFonts w:ascii="Arial" w:cs="Arial" w:eastAsia="Arial" w:hAnsi="Arial"/>
          <w:sz w:val="17"/>
          <w:szCs w:val="17"/>
          <w:color w:val="auto"/>
        </w:rPr>
      </w:pPr>
    </w:p>
    <w:p>
      <w:pPr>
        <w:ind w:left="-40" w:firstLine="464"/>
        <w:spacing w:after="0" w:line="270" w:lineRule="auto"/>
        <w:tabs>
          <w:tab w:leader="none" w:pos="67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internal accounting controls designed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As of the date of the most recent balance sheet of the Company and its consolidated subsidiaries audited by Kost, Forer, Gabbay and Kasierer, a member of Ernst &amp; Young Global Limited, there were no material weaknesses in the Company’s internal controls.</w:t>
      </w:r>
    </w:p>
    <w:p>
      <w:pPr>
        <w:spacing w:after="0" w:line="181" w:lineRule="exact"/>
        <w:rPr>
          <w:rFonts w:ascii="Arial" w:cs="Arial" w:eastAsia="Arial" w:hAnsi="Arial"/>
          <w:sz w:val="17"/>
          <w:szCs w:val="17"/>
          <w:color w:val="auto"/>
        </w:rPr>
      </w:pPr>
    </w:p>
    <w:p>
      <w:pPr>
        <w:ind w:left="-40" w:right="80" w:firstLine="464"/>
        <w:spacing w:after="0" w:line="279" w:lineRule="auto"/>
        <w:tabs>
          <w:tab w:leader="none" w:pos="71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 The Company and each of its subsidiaries maintain disclosure controls and procedures (as such term is defined in Rule 13a-15(e) under the Exchange Act), (ii) such disclosure controls and procedures are designed to ensure that the information is accumulated and communicated to management of the Company and its subsidiaries, including their respective principal executive officers and principal financial officers, as appropriate and (iii) such disclosure controls and procedures are effective in all material respects to perform the functions for which they were established.</w:t>
      </w:r>
    </w:p>
    <w:p>
      <w:pPr>
        <w:spacing w:after="0" w:line="171" w:lineRule="exact"/>
        <w:rPr>
          <w:rFonts w:ascii="Arial" w:cs="Arial" w:eastAsia="Arial" w:hAnsi="Arial"/>
          <w:sz w:val="17"/>
          <w:szCs w:val="17"/>
          <w:color w:val="auto"/>
        </w:rPr>
      </w:pPr>
    </w:p>
    <w:p>
      <w:pPr>
        <w:ind w:left="-40" w:right="40" w:firstLine="464"/>
        <w:spacing w:after="0" w:line="255" w:lineRule="auto"/>
        <w:tabs>
          <w:tab w:leader="none" w:pos="67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Since the date of the most recent balance sheet of the Company and its consolidated subsidiaries audited by Kost, Forer, Gabbay and Kasierer, a member of Ernst &amp; Young Global Limited, (i) the Company has not been advised of or become aware of (A) any significant deficiencies in the design or operation of internal controls that could adversely affect the ability of the Company or any of its subsidiaries to record, process, summarize and report financial data, or any material weaknesses in internal controls, and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adversely affect internal controls, including any corrective actions with regard to significant deficiencies and material weaknesses.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80" w:top="274" w:right="279" w:bottom="1440" w:gutter="0" w:footer="0" w:header="0"/>
        </w:sectPr>
      </w:pPr>
    </w:p>
    <w:bookmarkStart w:id="188" w:name="page189"/>
    <w:bookmarkEnd w:id="188"/>
    <w:p>
      <w:pPr>
        <w:ind w:left="-40" w:right="20" w:firstLine="464"/>
        <w:spacing w:after="0" w:line="297" w:lineRule="auto"/>
        <w:tabs>
          <w:tab w:leader="none" w:pos="671" w:val="left"/>
        </w:tabs>
        <w:numPr>
          <w:ilvl w:val="0"/>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section entitled “Management’s Discussion and Analysis of Financial Condition and Results of Operations – Critical Accounting Policies” set forth in the most recent Preliminary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Arial" w:cs="Arial" w:eastAsia="Arial" w:hAnsi="Arial"/>
          <w:sz w:val="16"/>
          <w:szCs w:val="16"/>
          <w:b w:val="1"/>
          <w:bCs w:val="1"/>
          <w:i w:val="1"/>
          <w:iCs w:val="1"/>
          <w:color w:val="auto"/>
        </w:rPr>
        <w:t>Critical Accounting Policies</w:t>
      </w:r>
      <w:r>
        <w:rPr>
          <w:rFonts w:ascii="Arial" w:cs="Arial" w:eastAsia="Arial" w:hAnsi="Arial"/>
          <w:sz w:val="16"/>
          <w:szCs w:val="16"/>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158" w:lineRule="exact"/>
        <w:rPr>
          <w:rFonts w:ascii="Arial" w:cs="Arial" w:eastAsia="Arial" w:hAnsi="Arial"/>
          <w:sz w:val="16"/>
          <w:szCs w:val="16"/>
          <w:color w:val="auto"/>
        </w:rPr>
      </w:pPr>
    </w:p>
    <w:p>
      <w:pPr>
        <w:ind w:left="-40" w:right="160" w:firstLine="464"/>
        <w:spacing w:after="0" w:line="286" w:lineRule="auto"/>
        <w:tabs>
          <w:tab w:leader="none" w:pos="66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that are applicable to the Company or its directors or officers in their capacities as directors or officers of the Company.</w:t>
      </w:r>
    </w:p>
    <w:p>
      <w:pPr>
        <w:spacing w:after="0" w:line="166" w:lineRule="exact"/>
        <w:rPr>
          <w:sz w:val="20"/>
          <w:szCs w:val="20"/>
          <w:color w:val="auto"/>
        </w:rPr>
      </w:pPr>
    </w:p>
    <w:p>
      <w:pPr>
        <w:ind w:left="-40" w:firstLine="464"/>
        <w:spacing w:after="0" w:line="287" w:lineRule="auto"/>
        <w:tabs>
          <w:tab w:leader="none" w:pos="74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Except as would not, in the aggregate, reasonably be expected to have a Material Adverse Effect, since the date of the latest audited financial statements included in the most recent Preliminary Prospectus, and, with respect to (ii), (iii) and (iv) below, except as disclosed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Pricing Disclosure Package and the Prospectus (the “</w:t>
      </w:r>
      <w:r>
        <w:rPr>
          <w:rFonts w:ascii="Arial" w:cs="Arial" w:eastAsia="Arial" w:hAnsi="Arial"/>
          <w:sz w:val="16"/>
          <w:szCs w:val="16"/>
          <w:b w:val="1"/>
          <w:bCs w:val="1"/>
          <w:i w:val="1"/>
          <w:iCs w:val="1"/>
          <w:color w:val="auto"/>
        </w:rPr>
        <w:t>Specified Equity Plans</w:t>
      </w:r>
      <w:r>
        <w:rPr>
          <w:rFonts w:ascii="Arial" w:cs="Arial" w:eastAsia="Arial" w:hAnsi="Arial"/>
          <w:sz w:val="16"/>
          <w:szCs w:val="16"/>
          <w:color w:val="auto"/>
        </w:rPr>
        <w:t>”)),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share capital, and, except as disclosed in the Preliminary Prospectus, since such date, there has not been any change in the share capital, long-term debt, net current assets or short-term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w:t>
      </w:r>
    </w:p>
    <w:p>
      <w:pPr>
        <w:spacing w:after="0" w:line="172" w:lineRule="exact"/>
        <w:rPr>
          <w:rFonts w:ascii="Arial" w:cs="Arial" w:eastAsia="Arial" w:hAnsi="Arial"/>
          <w:sz w:val="16"/>
          <w:szCs w:val="16"/>
          <w:color w:val="auto"/>
        </w:rPr>
      </w:pPr>
    </w:p>
    <w:p>
      <w:pPr>
        <w:ind w:left="-40" w:right="40" w:firstLine="464"/>
        <w:spacing w:after="0" w:line="293" w:lineRule="auto"/>
        <w:tabs>
          <w:tab w:leader="none" w:pos="76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and each of its subsidiaries have good and marketable title in fee simple to all real property and good and marketable title to all personal property owned by them, that are material to the business of the Company, in each case free and clear of all liens, encumbrances and defects, except such liens, encumbrances and defects as are described in the most recent Preliminary Prospectus or such as do not materially affect the value of such property and do not materially interfere with the use made and proposed to be made of such property by the Company and its subsidiaries. All assets held under lease by the Company and its subsidiaries, that are material to the business of the Company, are held by them under valid, subsisting and enforceable leases, with such exceptions as do not materially interfere with the use made and proposed to be made of such assets by the Company and its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74" w:right="259" w:bottom="1440" w:gutter="0" w:footer="0" w:header="0"/>
        </w:sectPr>
      </w:pPr>
    </w:p>
    <w:bookmarkStart w:id="189" w:name="page190"/>
    <w:bookmarkEnd w:id="189"/>
    <w:p>
      <w:pPr>
        <w:ind w:left="-60" w:firstLine="464"/>
        <w:spacing w:after="0" w:line="269" w:lineRule="auto"/>
        <w:tabs>
          <w:tab w:leader="none" w:pos="721" w:val="left"/>
        </w:tabs>
        <w:numPr>
          <w:ilvl w:val="0"/>
          <w:numId w:val="1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to the Company’s knowledge, its directors, officers, employees, and agents (while acting in such capacity) are, and at all times prior hereto have been, in compliance with, all health care laws and regulations applicable to the Company or any of its product candidates or activities, including development and testing of pharmaceutical products, kickbacks, recordkeeping, documentation requirements, the hiring of employees (to the extent governed by Health Care Laws), quality, safety, privacy, security, licensure, accreditation or any other aspect of developing and testing health care or pharmaceutical products (collectively, “</w:t>
      </w:r>
      <w:r>
        <w:rPr>
          <w:rFonts w:ascii="Arial" w:cs="Arial" w:eastAsia="Arial" w:hAnsi="Arial"/>
          <w:sz w:val="17"/>
          <w:szCs w:val="17"/>
          <w:b w:val="1"/>
          <w:bCs w:val="1"/>
          <w:i w:val="1"/>
          <w:iCs w:val="1"/>
          <w:color w:val="auto"/>
        </w:rPr>
        <w:t>Health Care Laws</w:t>
      </w:r>
      <w:r>
        <w:rPr>
          <w:rFonts w:ascii="Arial" w:cs="Arial" w:eastAsia="Arial" w:hAnsi="Arial"/>
          <w:sz w:val="17"/>
          <w:szCs w:val="17"/>
          <w:color w:val="auto"/>
        </w:rPr>
        <w:t>”), except where such noncompliance would not, individually or in the aggregate, have a Material Adverse Effect. The Company has not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United States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 the Drug Enforcement Agency, the Centers for Medicare &amp; Medicaid Services, the U.S. Department of Health and Human Services Office of Inspector General and the Ministry of Health of the State of Israel, of potential or actual non-compliance by, or liability of, the Company under any Health Care Laws. To the Company’s knowledge, there are no facts or circumstances that would reasonably be expected to give rise to liability of the Company under any Health Care Laws, except that would not individually or in the aggregate have a Material Adverse Effect.</w:t>
      </w:r>
    </w:p>
    <w:p>
      <w:pPr>
        <w:spacing w:after="0" w:line="179" w:lineRule="exact"/>
        <w:rPr>
          <w:rFonts w:ascii="Arial" w:cs="Arial" w:eastAsia="Arial" w:hAnsi="Arial"/>
          <w:sz w:val="17"/>
          <w:szCs w:val="17"/>
          <w:color w:val="auto"/>
        </w:rPr>
      </w:pPr>
    </w:p>
    <w:p>
      <w:pPr>
        <w:ind w:left="-60" w:right="20" w:firstLine="464"/>
        <w:spacing w:after="0" w:line="286" w:lineRule="auto"/>
        <w:tabs>
          <w:tab w:leader="none" w:pos="74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and its subsidiaries own, or have obtained valid and enforceable licenses in writing for, the inventions, patent applications, patents, trademarks, trade names, service names, copyrights, proprietary information (including trade secrets) and other intellectual property described in the Registration Statement, the Pricing Disclosure Package and the Prospectus as being owned or licensed by them or which that are necessary for the conduct of their respective businesses as currently conducted or as currently proposed to be conducted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To the Company’s knowledge: (i) there are no third parties who have rights to any Intellectual Property, except for customary reversionary rights of third-party licensors with respect to Intellectual Property that is disclosed in the Registration Statement, the Pricing Disclosure Package and the Prospectus as licensed to the Company or one or more of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Pricing Disclosure Package or the Prospectus as under development, infringe or violate, any patent, trademark, trade name, service name, copyright, proprietary information (including any trade secret) or other proprietary rights of others, and the Company is unaware of any facts which that would form a reasonable basis for any such action, suit, proceeding or claim.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00" w:top="274" w:right="279" w:bottom="1440" w:gutter="0" w:footer="0" w:header="0"/>
        </w:sectPr>
      </w:pPr>
    </w:p>
    <w:bookmarkStart w:id="190" w:name="page191"/>
    <w:bookmarkEnd w:id="190"/>
    <w:p>
      <w:pPr>
        <w:ind w:left="-20" w:right="60" w:firstLine="464"/>
        <w:spacing w:after="0" w:line="288" w:lineRule="auto"/>
        <w:tabs>
          <w:tab w:leader="none" w:pos="761"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its subsidiaries possess such valid and current certificates, authorizations or permits required by state, federal or foreign, including Israeli, regulatory agencies or bodies to conduct their respective businesses as currently conducted and as described in the Registration Statement, the Pricing Disclosure Package or the Prospectus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except where the failure to so possess would not, singly or in the aggregate, reasonably be expected to result in a Material Adverse Effect. Neither the Company nor any of its subsidiaries is in violation of, or in default under, any of the Permits or has received any notice of proceedings relating to the revocation or modification of, or non-compliance with, any such certificate, authorization or permit, except for such violations or defaults that would not, singly or in the aggregate, reasonably be expected to result in a Material Adverse Effect. Neither the Company nor any of its subsidiaries has received any notice of proceedings relating to the revocation or modification of any Permits which, singly or in the aggregate, if the subject of an unfavorable decision, ruling or finding, would reasonably be expected to result in a Material Adverse Effect. The Company has not received any notice denying, revoking or modifying any “approved enterprise” or “benefited enterprise” or “preferred enterprise” status with respect to any of the Company’s facilities or operations or with respect to any grants or benefits from the Chief Scientist or the Investment Center.</w:t>
      </w:r>
    </w:p>
    <w:p>
      <w:pPr>
        <w:spacing w:after="0" w:line="169" w:lineRule="exact"/>
        <w:rPr>
          <w:rFonts w:ascii="Arial" w:cs="Arial" w:eastAsia="Arial" w:hAnsi="Arial"/>
          <w:sz w:val="16"/>
          <w:szCs w:val="16"/>
          <w:color w:val="auto"/>
        </w:rPr>
      </w:pPr>
    </w:p>
    <w:p>
      <w:pPr>
        <w:ind w:left="-20" w:right="300" w:firstLine="464"/>
        <w:spacing w:after="0" w:line="259" w:lineRule="auto"/>
        <w:tabs>
          <w:tab w:leader="none" w:pos="71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the Company’s knowledge, the manufacture of Company products by or on behalf of the Company is being conducted in compliance in all material respects with all Health Care Laws applicable to the Company or any of its products or activities, including, without limitation, the FDA’s current good manufacturing practice regulations at 21 C.F.R. Parts 210-211 for products sold in the United States, and the respective counterparts thereof promulgated by governmental authorities in countries outside the United States.</w:t>
      </w:r>
    </w:p>
    <w:p>
      <w:pPr>
        <w:spacing w:after="0" w:line="186" w:lineRule="exact"/>
        <w:rPr>
          <w:rFonts w:ascii="Arial" w:cs="Arial" w:eastAsia="Arial" w:hAnsi="Arial"/>
          <w:sz w:val="18"/>
          <w:szCs w:val="18"/>
          <w:color w:val="auto"/>
        </w:rPr>
      </w:pPr>
    </w:p>
    <w:p>
      <w:pPr>
        <w:ind w:left="-20" w:firstLine="464"/>
        <w:spacing w:after="0" w:line="253" w:lineRule="auto"/>
        <w:tabs>
          <w:tab w:leader="none" w:pos="78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as disclosed in the Pricing Disclosure Package and the Prospectus or as would not reasonably be expected to have a Material Adverse Effect, during the three year period ending on December 31, 2013 and through the date hereof, the Company has not had any product or Company owned manufacturing site subject to a governmental authority (including FDA) shutdown or import or export prohibition, nor received any FDA Form 483 or other governmental authority notice of inspectional observations, “warning letters,” “untitled letters,” requests to make changes to the Company products, processes or operations, or similar correspondence or notice from the FDA or other governmental authority alleging or asserting material noncompliance with any applicable Health Care Laws. Since the time the Company entered into a relationship with any contract manufacturer or joint developer for Company products, as the case may be, to the knowledge of the Company, no other manufacturing site of the Company’s products has been subject to or received any such shutdown, prohibition, notice, letter or request. To the Company’s knowledge, neither the FDA nor any other governmental authority has threatened such action.</w:t>
      </w:r>
    </w:p>
    <w:p>
      <w:pPr>
        <w:spacing w:after="0" w:line="197" w:lineRule="exact"/>
        <w:rPr>
          <w:rFonts w:ascii="Arial" w:cs="Arial" w:eastAsia="Arial" w:hAnsi="Arial"/>
          <w:sz w:val="18"/>
          <w:szCs w:val="18"/>
          <w:color w:val="auto"/>
        </w:rPr>
      </w:pPr>
    </w:p>
    <w:p>
      <w:pPr>
        <w:ind w:left="-20" w:right="20" w:firstLine="464"/>
        <w:spacing w:after="0" w:line="257" w:lineRule="auto"/>
        <w:tabs>
          <w:tab w:leader="none" w:pos="78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Material Adverse Effect, (i) there are no recalls, fisineld notifications, field corrections, market withdrawals or replacements, warnings, “dear doctor” letters, investigator notices, safety alerts or other notice of action relating to an alleged lack of safety, efficacy, or regulatory compliance of the Company products (“</w:t>
      </w:r>
      <w:r>
        <w:rPr>
          <w:rFonts w:ascii="Arial" w:cs="Arial" w:eastAsia="Arial" w:hAnsi="Arial"/>
          <w:sz w:val="18"/>
          <w:szCs w:val="18"/>
          <w:b w:val="1"/>
          <w:bCs w:val="1"/>
          <w:i w:val="1"/>
          <w:iCs w:val="1"/>
          <w:color w:val="auto"/>
        </w:rPr>
        <w:t>Safety Notices</w:t>
      </w:r>
      <w:r>
        <w:rPr>
          <w:rFonts w:ascii="Arial" w:cs="Arial" w:eastAsia="Arial" w:hAnsi="Arial"/>
          <w:sz w:val="18"/>
          <w:szCs w:val="18"/>
          <w:color w:val="auto"/>
        </w:rPr>
        <w:t>”) during the three year period ending on December 31, 2013 and through the date hereof and, (ii) such Safety Notices, if any, were resolved or closed, and (iii) to the Company’s knowledge, there are no material complaints with respect to the Company products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4" w:right="239" w:bottom="1440" w:gutter="0" w:footer="0" w:header="0"/>
        </w:sectPr>
      </w:pPr>
    </w:p>
    <w:bookmarkStart w:id="191" w:name="page192"/>
    <w:bookmarkEnd w:id="191"/>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are currently unresolved. There are no Safety Notices, or, to the Company’s knowledge, material product complaints with respect to the Company products, and to the Company’s knowledge, there are no facts that would be reasonably likely to result in (i) a material Safety Notice with respect to the Company products, (ii) a material change in labeling of any of the Company’s products, or (iii) a termination or suspension of marketing or testing of any of the Company’s products, except as would not reasonably be expected to have a Material Adverse Effect.</w:t>
      </w:r>
    </w:p>
    <w:p>
      <w:pPr>
        <w:spacing w:after="0" w:line="171" w:lineRule="exact"/>
        <w:rPr>
          <w:sz w:val="20"/>
          <w:szCs w:val="20"/>
          <w:color w:val="auto"/>
        </w:rPr>
      </w:pPr>
    </w:p>
    <w:p>
      <w:pPr>
        <w:ind w:firstLine="464"/>
        <w:spacing w:after="0" w:line="269" w:lineRule="auto"/>
        <w:tabs>
          <w:tab w:leader="none" w:pos="72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clinical and pre-clinical studies and tests conducted by the Company and, to the knowledge of the Company, the clinical and pre-clinical studies conducted on behalf of or sponsored by the Company, were, and if still pending, are, being conducted in all material respects in accordance with all applicable Health Care Laws and standard medical and scientific research procedures, including, but not limited to, the Federal Food, Drug and Cosmetic Act and its applicable implementing regulations at 21 C.F.R. Parts 50, 54, 56, 58 and 312. Any descriptions of clinical, pre-clinical and other studies and tests, including any related results and regulatory status, contained in the Registration Statement, the Pricing Disclosure Package or the Prospectus are accurate in all material respects. Except as disclosed in the Pricing Disclosure Package and the Prospectus and to the Company’s knowledge, there are no studies, tests or trials the result of which reasonably call into question in any material respect the clinical trial results described or referred to in the Registration Statement, the Pricing Disclosure Package or the Prospectus. No 510(k) submission made by or on behalf of the Company with the FDA has been terminated or suspended by the FDA, and neither the FDA nor any applicable foreign regulatory agency has commenced, or, to the Company’s knowledge, threatened to initiate, any action to place a clinical hold order on, or otherwise terminate, delay or suspend, any proposed or ongoing clinical investigation conducted or proposed to be conducted by or on behalf of the Company.</w:t>
      </w:r>
    </w:p>
    <w:p>
      <w:pPr>
        <w:spacing w:after="0" w:line="182" w:lineRule="exact"/>
        <w:rPr>
          <w:rFonts w:ascii="Arial" w:cs="Arial" w:eastAsia="Arial" w:hAnsi="Arial"/>
          <w:sz w:val="17"/>
          <w:szCs w:val="17"/>
          <w:color w:val="auto"/>
        </w:rPr>
      </w:pPr>
    </w:p>
    <w:p>
      <w:pPr>
        <w:ind w:right="860" w:firstLine="464"/>
        <w:spacing w:after="0" w:line="277" w:lineRule="auto"/>
        <w:tabs>
          <w:tab w:leader="none" w:pos="72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is not a party to any corporate integrity agreements, monitoring agreements, consent decrees, settlement orders, or similar agreements with or imposed by any governmental authority.</w:t>
      </w:r>
    </w:p>
    <w:p>
      <w:pPr>
        <w:spacing w:after="0" w:line="170" w:lineRule="exact"/>
        <w:rPr>
          <w:rFonts w:ascii="Arial" w:cs="Arial" w:eastAsia="Arial" w:hAnsi="Arial"/>
          <w:sz w:val="18"/>
          <w:szCs w:val="18"/>
          <w:color w:val="auto"/>
        </w:rPr>
      </w:pPr>
    </w:p>
    <w:p>
      <w:pPr>
        <w:ind w:right="120" w:firstLine="464"/>
        <w:spacing w:after="0" w:line="257" w:lineRule="auto"/>
        <w:tabs>
          <w:tab w:leader="none" w:pos="80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or assets of the Company or any of its subsidiaries is the subject that, if determined adversely to the Company, would,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88" w:lineRule="exact"/>
        <w:rPr>
          <w:rFonts w:ascii="Arial" w:cs="Arial" w:eastAsia="Arial" w:hAnsi="Arial"/>
          <w:sz w:val="18"/>
          <w:szCs w:val="18"/>
          <w:color w:val="auto"/>
        </w:rPr>
      </w:pPr>
    </w:p>
    <w:p>
      <w:pPr>
        <w:ind w:right="100" w:firstLine="464"/>
        <w:spacing w:after="0" w:line="276" w:lineRule="auto"/>
        <w:tabs>
          <w:tab w:leader="none" w:pos="72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92" w:name="page193"/>
    <w:bookmarkEnd w:id="192"/>
    <w:p>
      <w:pPr>
        <w:ind w:left="-20" w:firstLine="464"/>
        <w:spacing w:after="0" w:line="269" w:lineRule="auto"/>
        <w:tabs>
          <w:tab w:leader="none" w:pos="881"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would not reasonably be expected to have a Material Adverse Effect, the Company and each of its subsidiaries maintain insurance from nationally recognized, in the applicable country, insurers in such amounts and covering such risks as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2" w:lineRule="exact"/>
        <w:rPr>
          <w:rFonts w:ascii="Arial" w:cs="Arial" w:eastAsia="Arial" w:hAnsi="Arial"/>
          <w:sz w:val="17"/>
          <w:szCs w:val="17"/>
          <w:color w:val="auto"/>
        </w:rPr>
      </w:pPr>
    </w:p>
    <w:p>
      <w:pPr>
        <w:ind w:left="-20" w:right="160" w:firstLine="464"/>
        <w:spacing w:after="0" w:line="342" w:lineRule="auto"/>
        <w:tabs>
          <w:tab w:leader="none" w:pos="78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 relationship, direct or indirect, exists between or among the Company, on the one hand, and the directors, officers, shareholders, customers or suppliers of the Company, on the other hand, that is required to be described in the most recent Preliminary Prospectus which is not so described.</w:t>
      </w:r>
    </w:p>
    <w:p>
      <w:pPr>
        <w:spacing w:after="0" w:line="123" w:lineRule="exact"/>
        <w:rPr>
          <w:rFonts w:ascii="Arial" w:cs="Arial" w:eastAsia="Arial" w:hAnsi="Arial"/>
          <w:sz w:val="16"/>
          <w:szCs w:val="16"/>
          <w:color w:val="auto"/>
        </w:rPr>
      </w:pPr>
    </w:p>
    <w:p>
      <w:pPr>
        <w:ind w:left="-20" w:right="280" w:firstLine="464"/>
        <w:spacing w:after="0" w:line="277" w:lineRule="auto"/>
        <w:tabs>
          <w:tab w:leader="none" w:pos="78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could reasonably be expected to have a Material Adverse Effect.</w:t>
      </w:r>
    </w:p>
    <w:p>
      <w:pPr>
        <w:spacing w:after="0" w:line="170" w:lineRule="exact"/>
        <w:rPr>
          <w:rFonts w:ascii="Arial" w:cs="Arial" w:eastAsia="Arial" w:hAnsi="Arial"/>
          <w:sz w:val="18"/>
          <w:szCs w:val="18"/>
          <w:color w:val="auto"/>
        </w:rPr>
      </w:pPr>
    </w:p>
    <w:p>
      <w:pPr>
        <w:ind w:left="-20" w:right="20" w:firstLine="464"/>
        <w:spacing w:after="0" w:line="271" w:lineRule="auto"/>
        <w:tabs>
          <w:tab w:leader="none" w:pos="78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178" w:lineRule="exact"/>
        <w:rPr>
          <w:rFonts w:ascii="Arial" w:cs="Arial" w:eastAsia="Arial" w:hAnsi="Arial"/>
          <w:sz w:val="17"/>
          <w:szCs w:val="17"/>
          <w:color w:val="auto"/>
        </w:rPr>
      </w:pPr>
    </w:p>
    <w:p>
      <w:pPr>
        <w:ind w:left="-20" w:right="100" w:firstLine="464"/>
        <w:spacing w:after="0" w:line="257" w:lineRule="auto"/>
        <w:tabs>
          <w:tab w:leader="none" w:pos="78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and each of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193" w:name="page194"/>
    <w:bookmarkEnd w:id="19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 (i) or (ii) where such non-compliance, violation, liability, or other obligation would not, in the aggregate, reasonably be expected to have a Material Adverse Effect. Except as described in the most recent Preliminary Prospectus, (x) there are no proceedings that are pending, or to the Company’s knowledge, threatened,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180" w:lineRule="exact"/>
        <w:rPr>
          <w:sz w:val="20"/>
          <w:szCs w:val="20"/>
          <w:color w:val="auto"/>
        </w:rPr>
      </w:pPr>
    </w:p>
    <w:p>
      <w:pPr>
        <w:ind w:right="80" w:firstLine="464"/>
        <w:spacing w:after="0" w:line="259" w:lineRule="auto"/>
        <w:tabs>
          <w:tab w:leader="none" w:pos="74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 and each of its subsidiaries have filed all federal, state, local and foreign tax returns required to be filed through the date hereof, subject to permitted extensions, and have paid all taxes due, and no tax deficiency has been determined adversely to the Company or any of its subsidiaries, nor does the Company have any knowledge of any tax deficiencies that have been, or would reasonably be expected to be asserted against the Company, that would, in the aggregate, reasonably be expected to have a Material Adverse Effect.</w:t>
      </w:r>
    </w:p>
    <w:p>
      <w:pPr>
        <w:spacing w:after="0" w:line="186" w:lineRule="exact"/>
        <w:rPr>
          <w:rFonts w:ascii="Arial" w:cs="Arial" w:eastAsia="Arial" w:hAnsi="Arial"/>
          <w:sz w:val="18"/>
          <w:szCs w:val="18"/>
          <w:color w:val="auto"/>
        </w:rPr>
      </w:pPr>
    </w:p>
    <w:p>
      <w:pPr>
        <w:ind w:right="20" w:firstLine="464"/>
        <w:spacing w:after="0" w:line="269" w:lineRule="auto"/>
        <w:tabs>
          <w:tab w:leader="none" w:pos="76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 Each “employee benefit plan” (within the meaning of Section 3(3) of the Employee Retirement Security Act of 1974, as amended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would have any liability (each a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94" w:name="page195"/>
    <w:bookmarkEnd w:id="194"/>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181" w:lineRule="exact"/>
        <w:rPr>
          <w:sz w:val="20"/>
          <w:szCs w:val="20"/>
          <w:color w:val="auto"/>
        </w:rPr>
      </w:pPr>
    </w:p>
    <w:p>
      <w:pPr>
        <w:ind w:firstLine="464"/>
        <w:spacing w:after="0" w:line="264" w:lineRule="auto"/>
        <w:tabs>
          <w:tab w:leader="none" w:pos="72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most recent Preliminary Prospectus and the consolidated financial statements of the Company and its subsidiaries included in the most recent Preliminary Prospectus are based on or derived from sources that the Company believes to be reliable in all material respects.</w:t>
      </w:r>
    </w:p>
    <w:p>
      <w:pPr>
        <w:spacing w:after="0" w:line="181" w:lineRule="exact"/>
        <w:rPr>
          <w:rFonts w:ascii="Arial" w:cs="Arial" w:eastAsia="Arial" w:hAnsi="Arial"/>
          <w:sz w:val="18"/>
          <w:szCs w:val="18"/>
          <w:color w:val="auto"/>
        </w:rPr>
      </w:pPr>
    </w:p>
    <w:p>
      <w:pPr>
        <w:ind w:firstLine="464"/>
        <w:spacing w:after="0" w:line="257" w:lineRule="auto"/>
        <w:tabs>
          <w:tab w:leader="none" w:pos="80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and as of the applicable Delivery Date and, after giving effect to the offer and sale of the Shares and the application of the proceeds therefrom as described under “Use of Proceeds” in the most recent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and the rules and regulations of the Commission thereunder, or (ii) a “business development company” (as defined in Section 2(a)(48) of the Investment Company Act).</w:t>
      </w:r>
    </w:p>
    <w:p>
      <w:pPr>
        <w:spacing w:after="0" w:line="188" w:lineRule="exact"/>
        <w:rPr>
          <w:rFonts w:ascii="Arial" w:cs="Arial" w:eastAsia="Arial" w:hAnsi="Arial"/>
          <w:sz w:val="18"/>
          <w:szCs w:val="18"/>
          <w:color w:val="auto"/>
        </w:rPr>
      </w:pPr>
    </w:p>
    <w:p>
      <w:pPr>
        <w:ind w:firstLine="464"/>
        <w:spacing w:after="0" w:line="286" w:lineRule="auto"/>
        <w:tabs>
          <w:tab w:leader="none" w:pos="80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statements set forth in each of the most recent Preliminary Prospectus and the Prospectus under the captions “Business—Environmental Matters,” “Business—Legal Proceedings,” “Certain Relationships and Related Party Transactions” and “Description of Share Capital,” insofar as they purport to summarize the provisions of the laws and documents referred to therein, are accurate summaries in all material respects.</w:t>
      </w:r>
    </w:p>
    <w:p>
      <w:pPr>
        <w:spacing w:after="0" w:line="165" w:lineRule="exact"/>
        <w:rPr>
          <w:rFonts w:ascii="Arial" w:cs="Arial" w:eastAsia="Arial" w:hAnsi="Arial"/>
          <w:sz w:val="17"/>
          <w:szCs w:val="17"/>
          <w:color w:val="auto"/>
        </w:rPr>
      </w:pPr>
    </w:p>
    <w:p>
      <w:pPr>
        <w:ind w:right="160" w:firstLine="464"/>
        <w:spacing w:after="0" w:line="302" w:lineRule="auto"/>
        <w:tabs>
          <w:tab w:leader="none" w:pos="88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as disclosed in the Pricing Disclosure Package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54" w:lineRule="exact"/>
        <w:rPr>
          <w:rFonts w:ascii="Arial" w:cs="Arial" w:eastAsia="Arial" w:hAnsi="Arial"/>
          <w:sz w:val="16"/>
          <w:szCs w:val="16"/>
          <w:color w:val="auto"/>
        </w:rPr>
      </w:pPr>
    </w:p>
    <w:p>
      <w:pPr>
        <w:ind w:firstLine="464"/>
        <w:spacing w:after="0" w:line="264" w:lineRule="auto"/>
        <w:tabs>
          <w:tab w:leader="none" w:pos="80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Shares.</w:t>
      </w:r>
    </w:p>
    <w:p>
      <w:pPr>
        <w:spacing w:after="0" w:line="181" w:lineRule="exact"/>
        <w:rPr>
          <w:rFonts w:ascii="Arial" w:cs="Arial" w:eastAsia="Arial" w:hAnsi="Arial"/>
          <w:sz w:val="18"/>
          <w:szCs w:val="18"/>
          <w:color w:val="auto"/>
        </w:rPr>
      </w:pPr>
    </w:p>
    <w:p>
      <w:pPr>
        <w:ind w:right="520" w:firstLine="464"/>
        <w:spacing w:after="0" w:line="277" w:lineRule="auto"/>
        <w:tabs>
          <w:tab w:leader="none" w:pos="80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has not sold or issued any securities that would be integrated with the offering of the Shares contemplated by this Agreement pursuant to the Securities Act, the rules and regulations thereunder or the interpretations thereof by the Commission.</w:t>
      </w:r>
    </w:p>
    <w:p>
      <w:pPr>
        <w:spacing w:after="0" w:line="170" w:lineRule="exact"/>
        <w:rPr>
          <w:rFonts w:ascii="Arial" w:cs="Arial" w:eastAsia="Arial" w:hAnsi="Arial"/>
          <w:sz w:val="18"/>
          <w:szCs w:val="18"/>
          <w:color w:val="auto"/>
        </w:rPr>
      </w:pPr>
    </w:p>
    <w:p>
      <w:pPr>
        <w:jc w:val="both"/>
        <w:ind w:right="140" w:firstLine="464"/>
        <w:spacing w:after="0" w:line="259" w:lineRule="auto"/>
        <w:tabs>
          <w:tab w:leader="none" w:pos="78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 Assuming the Underwriters have not offered the Shares or otherwise engaged in a solicitation, advertising or any other action constituting an offer under the Israeli</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95" w:name="page196"/>
    <w:bookmarkEnd w:id="19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Law 5728-1968, as amended, and the regulations promulgated thereunder (collectively, the “</w:t>
      </w:r>
      <w:r>
        <w:rPr>
          <w:rFonts w:ascii="Arial" w:cs="Arial" w:eastAsia="Arial" w:hAnsi="Arial"/>
          <w:sz w:val="18"/>
          <w:szCs w:val="18"/>
          <w:b w:val="1"/>
          <w:bCs w:val="1"/>
          <w:i w:val="1"/>
          <w:iCs w:val="1"/>
          <w:color w:val="auto"/>
        </w:rPr>
        <w:t>Israeli Securities Law</w:t>
      </w:r>
      <w:r>
        <w:rPr>
          <w:rFonts w:ascii="Arial" w:cs="Arial" w:eastAsia="Arial" w:hAnsi="Arial"/>
          <w:sz w:val="18"/>
          <w:szCs w:val="18"/>
          <w:color w:val="auto"/>
        </w:rPr>
        <w:t>”) in Israel, other than an offer that does not constitute an offering to the public, the Company has not engaged in any form of solicitation, advertising or any other action constituting an offer under the Israeli Securities Law in connection with the transactions contemplated hereby which would require the Company to publish a prospectus in the State of Israel under the laws of the State of Israel.</w:t>
      </w:r>
    </w:p>
    <w:p>
      <w:pPr>
        <w:spacing w:after="0" w:line="187" w:lineRule="exact"/>
        <w:rPr>
          <w:sz w:val="20"/>
          <w:szCs w:val="20"/>
          <w:color w:val="auto"/>
        </w:rPr>
      </w:pPr>
    </w:p>
    <w:p>
      <w:pPr>
        <w:ind w:left="860" w:hanging="396"/>
        <w:spacing w:after="0"/>
        <w:tabs>
          <w:tab w:leader="none" w:pos="8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Shares have been approved for listing, subject to official notice of issuance and evidence of satisfactory distribution on the Nasdaq Global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210" w:lineRule="exact"/>
        <w:rPr>
          <w:rFonts w:ascii="Arial" w:cs="Arial" w:eastAsia="Arial" w:hAnsi="Arial"/>
          <w:sz w:val="16"/>
          <w:szCs w:val="16"/>
          <w:color w:val="auto"/>
        </w:rPr>
      </w:pPr>
    </w:p>
    <w:p>
      <w:pPr>
        <w:ind w:right="120" w:firstLine="464"/>
        <w:spacing w:after="0" w:line="259" w:lineRule="auto"/>
        <w:tabs>
          <w:tab w:leader="none" w:pos="88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has not distributed and, prior to the later to occur of any Delivery Date and completion of the distribution of the Shares, will not distribute any offering material in connection with the offering and sale of the Shares other than any Preliminary Prospectus, the Prospectus, any Issuer Free Writing Prospectus to which the Representatives have consented in accordance with Section 1(k) or 5(a)(vi) and any Issuer Free Writing Prospectus set forth on Schedule V hereto and any Written Testing-the–Waters-Communication.</w:t>
      </w:r>
    </w:p>
    <w:p>
      <w:pPr>
        <w:spacing w:after="0" w:line="186" w:lineRule="exact"/>
        <w:rPr>
          <w:rFonts w:ascii="Arial" w:cs="Arial" w:eastAsia="Arial" w:hAnsi="Arial"/>
          <w:sz w:val="18"/>
          <w:szCs w:val="18"/>
          <w:color w:val="auto"/>
        </w:rPr>
      </w:pPr>
    </w:p>
    <w:p>
      <w:pPr>
        <w:ind w:right="20" w:firstLine="464"/>
        <w:spacing w:after="0" w:line="259" w:lineRule="auto"/>
        <w:tabs>
          <w:tab w:leader="none" w:pos="86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spacing w:after="0" w:line="186" w:lineRule="exact"/>
        <w:rPr>
          <w:rFonts w:ascii="Arial" w:cs="Arial" w:eastAsia="Arial" w:hAnsi="Arial"/>
          <w:sz w:val="18"/>
          <w:szCs w:val="18"/>
          <w:color w:val="auto"/>
        </w:rPr>
      </w:pPr>
    </w:p>
    <w:p>
      <w:pPr>
        <w:ind w:firstLine="464"/>
        <w:spacing w:after="0" w:line="271" w:lineRule="auto"/>
        <w:tabs>
          <w:tab w:leader="none" w:pos="89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the Organisation for Economic Co-operation and Development Convention on Bribery of Foreign Public Officials in International Business Transactions, Section 291A of the Israel Penal Law, 5733-1973 and the rules and regulations thereunder and any other similar foreign or domestic law or regulation; or (iv) made any bribe, rebate, payoff, influence payment, kickback or other unlawful payment. The Company has instituted and maintains policies and procedures designed to ensure continued compliance with the laws and regulations referenced in clause (iii) of this paragraph.</w:t>
      </w:r>
    </w:p>
    <w:p>
      <w:pPr>
        <w:spacing w:after="0" w:line="178" w:lineRule="exact"/>
        <w:rPr>
          <w:rFonts w:ascii="Arial" w:cs="Arial" w:eastAsia="Arial" w:hAnsi="Arial"/>
          <w:sz w:val="17"/>
          <w:szCs w:val="17"/>
          <w:color w:val="auto"/>
        </w:rPr>
      </w:pPr>
    </w:p>
    <w:p>
      <w:pPr>
        <w:ind w:firstLine="464"/>
        <w:spacing w:after="0" w:line="293" w:lineRule="auto"/>
        <w:tabs>
          <w:tab w:leader="none" w:pos="86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applicable related or similar rules, regulations or guidelines, issued, administered or enforced by any governmental agency (collectively, the “</w:t>
      </w:r>
      <w:r>
        <w:rPr>
          <w:rFonts w:ascii="Arial" w:cs="Arial" w:eastAsia="Arial" w:hAnsi="Arial"/>
          <w:sz w:val="16"/>
          <w:szCs w:val="16"/>
          <w:b w:val="1"/>
          <w:bCs w:val="1"/>
          <w:i w:val="1"/>
          <w:i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6" w:name="page197"/>
    <w:bookmarkEnd w:id="196"/>
    <w:p>
      <w:pPr>
        <w:ind w:right="80" w:firstLine="464"/>
        <w:spacing w:after="0" w:line="257" w:lineRule="auto"/>
        <w:tabs>
          <w:tab w:leader="none" w:pos="7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8" w:lineRule="exact"/>
        <w:rPr>
          <w:rFonts w:ascii="Arial" w:cs="Arial" w:eastAsia="Arial" w:hAnsi="Arial"/>
          <w:sz w:val="18"/>
          <w:szCs w:val="18"/>
          <w:color w:val="auto"/>
        </w:rPr>
      </w:pPr>
    </w:p>
    <w:p>
      <w:pPr>
        <w:ind w:right="580" w:firstLine="464"/>
        <w:spacing w:after="0" w:line="264" w:lineRule="auto"/>
        <w:tabs>
          <w:tab w:leader="none" w:pos="89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Subject to the qualifications and assumptions set forth in the Registration Statement, the Company is not, and upon the sale of the Shares contemplated by this Agreement does not expect to become, a “passive foreign investment company” (as defined in Section 1297 of the Code, and the regulations promulgated thereunder).</w:t>
      </w:r>
    </w:p>
    <w:p>
      <w:pPr>
        <w:spacing w:after="0" w:line="181" w:lineRule="exact"/>
        <w:rPr>
          <w:rFonts w:ascii="Arial" w:cs="Arial" w:eastAsia="Arial" w:hAnsi="Arial"/>
          <w:sz w:val="18"/>
          <w:szCs w:val="18"/>
          <w:color w:val="auto"/>
        </w:rPr>
      </w:pPr>
    </w:p>
    <w:p>
      <w:pPr>
        <w:ind w:right="140" w:firstLine="464"/>
        <w:spacing w:after="0" w:line="277" w:lineRule="auto"/>
        <w:tabs>
          <w:tab w:leader="none" w:pos="89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stamp, issue, registration, documentary, transfer or other similar taxes and duties, including interest and penalties, are payable in Israel on or in connection with the issuance and sale of the Shares by the Company or the execution and delivery of this Agreement.</w:t>
      </w:r>
    </w:p>
    <w:p>
      <w:pPr>
        <w:spacing w:after="0" w:line="170" w:lineRule="exact"/>
        <w:rPr>
          <w:rFonts w:ascii="Arial" w:cs="Arial" w:eastAsia="Arial" w:hAnsi="Arial"/>
          <w:sz w:val="18"/>
          <w:szCs w:val="18"/>
          <w:color w:val="auto"/>
        </w:rPr>
      </w:pPr>
    </w:p>
    <w:p>
      <w:pPr>
        <w:ind w:right="320" w:firstLine="464"/>
        <w:spacing w:after="0" w:line="308" w:lineRule="auto"/>
        <w:tabs>
          <w:tab w:leader="none" w:pos="77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Neither the Company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46" w:lineRule="exact"/>
        <w:rPr>
          <w:rFonts w:ascii="Arial" w:cs="Arial" w:eastAsia="Arial" w:hAnsi="Arial"/>
          <w:sz w:val="17"/>
          <w:szCs w:val="17"/>
          <w:color w:val="auto"/>
        </w:rPr>
      </w:pPr>
    </w:p>
    <w:p>
      <w:pPr>
        <w:ind w:right="80" w:firstLine="464"/>
        <w:spacing w:after="0" w:line="277" w:lineRule="auto"/>
        <w:tabs>
          <w:tab w:leader="none" w:pos="77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Except as disclosed in the Pricing Disclosure Package and the Prospectus, for a period of twelve months prior to and including the date hereof, the Company has not offered or sold any of its securities in Israel except under Specified Equity Plans.</w:t>
      </w:r>
    </w:p>
    <w:p>
      <w:pPr>
        <w:spacing w:after="0" w:line="170" w:lineRule="exact"/>
        <w:rPr>
          <w:rFonts w:ascii="Arial" w:cs="Arial" w:eastAsia="Arial" w:hAnsi="Arial"/>
          <w:sz w:val="18"/>
          <w:szCs w:val="18"/>
          <w:color w:val="auto"/>
        </w:rPr>
      </w:pPr>
    </w:p>
    <w:p>
      <w:pPr>
        <w:ind w:left="900" w:hanging="43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qualifies as a “foreign private issuer” within the meaning of Rule 405 under the Act.</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Company has duly designated ReWalk Robotics, Inc. as its authorized agent to receive service of process as set forth in Section 20.</w:t>
      </w:r>
    </w:p>
    <w:p>
      <w:pPr>
        <w:spacing w:after="0" w:line="237"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Any certificate signed by any officer of the Company and delivered to the Representatives or counsel for the Underwriters in connection with the offering of the Shares shall be deemed a representation and warranty by the Company, as to matters covered thereby, to each Underwriter.</w:t>
      </w:r>
    </w:p>
    <w:p>
      <w:pPr>
        <w:spacing w:after="0" w:line="147" w:lineRule="exact"/>
        <w:rPr>
          <w:sz w:val="20"/>
          <w:szCs w:val="20"/>
          <w:color w:val="auto"/>
        </w:rPr>
      </w:pPr>
    </w:p>
    <w:p>
      <w:pPr>
        <w:ind w:firstLine="921"/>
        <w:spacing w:after="0" w:line="257" w:lineRule="auto"/>
        <w:tabs>
          <w:tab w:leader="none" w:pos="1093"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Purchase of the Shares by the Underwriters. </w:t>
      </w:r>
      <w:r>
        <w:rPr>
          <w:rFonts w:ascii="Arial" w:cs="Arial" w:eastAsia="Arial" w:hAnsi="Arial"/>
          <w:sz w:val="18"/>
          <w:szCs w:val="18"/>
          <w:color w:val="auto"/>
        </w:rPr>
        <w:t>On the basis of the representations, warranties and covenants contained in, and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this Agreement, the Company agrees to sell [—] shares of the Firm Shares to the several Underwriters, and each of the Underwriters, severally and not jointly, agrees to purchase the number of shares of the Firm Shares set forth opposite that Underwriter’s name in Schedule I hereto. The respective purchase obligations of the Underwriters with respect to the Firm Shares shall be rounded among the Underwriters to avoid fractional shares, as the Representatives may determine.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7" w:name="page198"/>
    <w:bookmarkEnd w:id="197"/>
    <w:p>
      <w:pPr>
        <w:ind w:right="20"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Company grants to the Underwriters an option to purchase up to [—] additional Option Shares. Such option is exercisable in the event that the Underwriters sell more Ordinary Shares than the number of shares of Firm Shares in the offering and as set forth in Section 4 hereof. Each Underwriter agrees, severally and not jointly, to purchase the number of shares of Option Shares (subject to such adjustments to eliminate fractional shares as the Representatives may determine) that bears the same proportion to the total number of shares of Option Shares to be sold on such Delivery Date as the number of shares of Firm Shares set forth in Schedule I hereto opposite the name of such Underwriter bears to the total number of shares of Firm Shares.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purchase price payable by the Underwriters for both the Firm Shares and any Option Shares is $[—] per share.</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Company is not obligated to deliver any of the Firm Shares or Option Shares to be delivered on the applicable Delivery Date, except upon payment for all such Shares to be purchased on such Delivery Date as provided herein.</w:t>
      </w:r>
    </w:p>
    <w:p>
      <w:pPr>
        <w:spacing w:after="0" w:line="170" w:lineRule="exact"/>
        <w:rPr>
          <w:sz w:val="20"/>
          <w:szCs w:val="20"/>
          <w:color w:val="auto"/>
        </w:rPr>
      </w:pPr>
    </w:p>
    <w:p>
      <w:pPr>
        <w:ind w:right="40" w:firstLine="921"/>
        <w:spacing w:after="0" w:line="277" w:lineRule="auto"/>
        <w:tabs>
          <w:tab w:leader="none" w:pos="1093"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Offering of Shares by the Underwriters</w:t>
      </w:r>
      <w:r>
        <w:rPr>
          <w:rFonts w:ascii="Arial" w:cs="Arial" w:eastAsia="Arial" w:hAnsi="Arial"/>
          <w:sz w:val="18"/>
          <w:szCs w:val="18"/>
          <w:color w:val="auto"/>
        </w:rPr>
        <w:t>. Upon authorization by the Representatives of the release of the Firm Shares, the several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propose to offer the Firm Shares for sale upon the terms and conditions to be set forth in the Prospectus.</w:t>
      </w:r>
    </w:p>
    <w:p>
      <w:pPr>
        <w:spacing w:after="0" w:line="170" w:lineRule="exact"/>
        <w:rPr>
          <w:sz w:val="20"/>
          <w:szCs w:val="20"/>
          <w:color w:val="auto"/>
        </w:rPr>
      </w:pPr>
    </w:p>
    <w:p>
      <w:pPr>
        <w:ind w:right="20" w:firstLine="1484"/>
        <w:spacing w:after="0" w:line="255" w:lineRule="auto"/>
        <w:rPr>
          <w:sz w:val="20"/>
          <w:szCs w:val="20"/>
          <w:color w:val="auto"/>
        </w:rPr>
      </w:pPr>
      <w:r>
        <w:rPr>
          <w:rFonts w:ascii="Arial" w:cs="Arial" w:eastAsia="Arial" w:hAnsi="Arial"/>
          <w:sz w:val="18"/>
          <w:szCs w:val="18"/>
          <w:color w:val="auto"/>
        </w:rPr>
        <w:t>Each Underwriter hereby represents to and agrees with the Company that it will not offer any Shares to offerees in Israel, other than to investors listed in the First Addendum to the Israeli Securities Law (the “</w:t>
      </w:r>
      <w:r>
        <w:rPr>
          <w:rFonts w:ascii="Arial" w:cs="Arial" w:eastAsia="Arial" w:hAnsi="Arial"/>
          <w:sz w:val="18"/>
          <w:szCs w:val="18"/>
          <w:b w:val="1"/>
          <w:bCs w:val="1"/>
          <w:i w:val="1"/>
          <w:iCs w:val="1"/>
          <w:color w:val="auto"/>
        </w:rPr>
        <w:t>Addendum</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as a prerequisite to the sale of Shares by the Underwriters to any such Israeli investors, each of them shall be required to submit written confirmation to the Underwriters and the Company that such investor (a) falls within the scope of the Addendum; and (b) is acquiring the Shares being offered to it for investment for its own account or, if applicable, for investment for clients who are institutional investors and in any event not as a nominee, market maker or agent and not with a view to, or for the resale in connection with, any distribution thereof.</w:t>
      </w:r>
    </w:p>
    <w:p>
      <w:pPr>
        <w:spacing w:after="0" w:line="193" w:lineRule="exact"/>
        <w:rPr>
          <w:sz w:val="20"/>
          <w:szCs w:val="20"/>
          <w:color w:val="auto"/>
        </w:rPr>
      </w:pPr>
    </w:p>
    <w:p>
      <w:pPr>
        <w:ind w:firstLine="921"/>
        <w:spacing w:after="0" w:line="271" w:lineRule="auto"/>
        <w:tabs>
          <w:tab w:leader="none" w:pos="1093"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Delivery of and Payment for the Shares. </w:t>
      </w:r>
      <w:r>
        <w:rPr>
          <w:rFonts w:ascii="Arial" w:cs="Arial" w:eastAsia="Arial" w:hAnsi="Arial"/>
          <w:sz w:val="17"/>
          <w:szCs w:val="17"/>
          <w:color w:val="auto"/>
        </w:rPr>
        <w:t>Delivery of and payment for the Firm Shares shall be made at 10:00 A.M., New York City time, on</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third full business day following the date of this Agreement or at such other date or place as shall be determined by agreement between the Representatives and the Company. This date and time are sometimes referred to as the “</w:t>
      </w:r>
      <w:r>
        <w:rPr>
          <w:rFonts w:ascii="Arial" w:cs="Arial" w:eastAsia="Arial" w:hAnsi="Arial"/>
          <w:sz w:val="17"/>
          <w:szCs w:val="17"/>
          <w:b w:val="1"/>
          <w:bCs w:val="1"/>
          <w:i w:val="1"/>
          <w:iCs w:val="1"/>
          <w:color w:val="auto"/>
        </w:rPr>
        <w:t>Initial Delivery Date</w:t>
      </w:r>
      <w:r>
        <w:rPr>
          <w:rFonts w:ascii="Arial" w:cs="Arial" w:eastAsia="Arial" w:hAnsi="Arial"/>
          <w:sz w:val="17"/>
          <w:szCs w:val="17"/>
          <w:color w:val="auto"/>
        </w:rPr>
        <w:t>”. Delivery of the Firm Shares shall be made to the Representatives for the account of each Underwriter against payment by the several Underwriters through the Representatives and of the respective aggregate purchase prices of the Firm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Firm Shares through the facilities of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unless the Representatives shall otherwise instruct.</w:t>
      </w:r>
    </w:p>
    <w:p>
      <w:pPr>
        <w:spacing w:after="0" w:line="17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option granted in Section 2 will expire 30 days after the date of this Agreement and may be exercised in whole or from time to time in part by written notice being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198" w:name="page199"/>
    <w:bookmarkEnd w:id="198"/>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given to the Company by the Representatives;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date falls on a day that is not a business day, the option granted in Section 2 will expire on the next succeeding business day. Such notice shall set forth the aggregate number of shares of Option Shares as to which the option is being exercised, the names in which the shares of Option Shares are to be registered, the denominations in which the shares of Option Shares are to be issued and the date and time, as determined by the Representatives, when the shares of Option Shares are to be delivered;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date and time shall not be earlier than the Initial Delivery Date nor earlier than the second business day after the date on which the option shall have been exercised nor later than the fifth business day after the date on which the option shall have been exercised. Each date and time the shares of Option Shares are delivered is sometimes referred to as an “</w:t>
      </w:r>
      <w:r>
        <w:rPr>
          <w:rFonts w:ascii="Arial" w:cs="Arial" w:eastAsia="Arial" w:hAnsi="Arial"/>
          <w:sz w:val="18"/>
          <w:szCs w:val="18"/>
          <w:b w:val="1"/>
          <w:bCs w:val="1"/>
          <w:i w:val="1"/>
          <w:iCs w:val="1"/>
          <w:color w:val="auto"/>
        </w:rPr>
        <w:t>Option Share Delivery Date</w:t>
      </w:r>
      <w:r>
        <w:rPr>
          <w:rFonts w:ascii="Arial" w:cs="Arial" w:eastAsia="Arial" w:hAnsi="Arial"/>
          <w:sz w:val="18"/>
          <w:szCs w:val="18"/>
          <w:color w:val="auto"/>
        </w:rPr>
        <w:t>”, and the Initial Delivery Date and any Option Share Delivery Date are sometimes each referred to as a “</w:t>
      </w:r>
      <w:r>
        <w:rPr>
          <w:rFonts w:ascii="Arial" w:cs="Arial" w:eastAsia="Arial" w:hAnsi="Arial"/>
          <w:sz w:val="18"/>
          <w:szCs w:val="18"/>
          <w:b w:val="1"/>
          <w:bCs w:val="1"/>
          <w:i w:val="1"/>
          <w:iCs w:val="1"/>
          <w:color w:val="auto"/>
        </w:rPr>
        <w:t>Delivery Date</w:t>
      </w:r>
      <w:r>
        <w:rPr>
          <w:rFonts w:ascii="Arial" w:cs="Arial" w:eastAsia="Arial" w:hAnsi="Arial"/>
          <w:sz w:val="18"/>
          <w:szCs w:val="18"/>
          <w:color w:val="auto"/>
        </w:rPr>
        <w:t>”.</w:t>
      </w:r>
    </w:p>
    <w:p>
      <w:pPr>
        <w:spacing w:after="0" w:line="192"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Delivery of the Option Shares by the Company and payment for the Option Shares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Company. On each Option Shares Delivery Date, the Company shall deliver or cause to be delivered the Option Shares to the Representatives for the account of each Underwriter against payment by the several Underwriters through the Representatives and of the respective aggregate purchase prices of the Option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Shares through the facilities of DTC unless the Representatives shall otherwise instruct.</w:t>
      </w:r>
    </w:p>
    <w:p>
      <w:pPr>
        <w:spacing w:after="0" w:line="166" w:lineRule="exact"/>
        <w:rPr>
          <w:sz w:val="20"/>
          <w:szCs w:val="20"/>
          <w:color w:val="auto"/>
        </w:rPr>
      </w:pPr>
    </w:p>
    <w:p>
      <w:pPr>
        <w:ind w:left="1100" w:hanging="179"/>
        <w:spacing w:after="0"/>
        <w:tabs>
          <w:tab w:leader="none" w:pos="110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 (a) The Company agrees:</w:t>
      </w:r>
    </w:p>
    <w:p>
      <w:pPr>
        <w:spacing w:after="0" w:line="117" w:lineRule="exact"/>
        <w:rPr>
          <w:sz w:val="20"/>
          <w:szCs w:val="20"/>
          <w:color w:val="auto"/>
        </w:rPr>
      </w:pPr>
    </w:p>
    <w:p>
      <w:pPr>
        <w:ind w:left="460" w:firstLine="443"/>
        <w:spacing w:after="0" w:line="269" w:lineRule="auto"/>
        <w:tabs>
          <w:tab w:leader="none" w:pos="111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to advise the Representatives,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99" w:name="page200"/>
    <w:bookmarkEnd w:id="199"/>
    <w:p>
      <w:pPr>
        <w:ind w:right="460" w:firstLine="443"/>
        <w:spacing w:after="0" w:line="342" w:lineRule="auto"/>
        <w:tabs>
          <w:tab w:leader="none" w:pos="703" w:val="left"/>
        </w:tabs>
        <w:numPr>
          <w:ilvl w:val="1"/>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furnish promptly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15" w:lineRule="exact"/>
        <w:rPr>
          <w:rFonts w:ascii="Arial" w:cs="Arial" w:eastAsia="Arial" w:hAnsi="Arial"/>
          <w:sz w:val="16"/>
          <w:szCs w:val="16"/>
          <w:color w:val="auto"/>
        </w:rPr>
      </w:pPr>
    </w:p>
    <w:p>
      <w:pPr>
        <w:ind w:left="760" w:hanging="317"/>
        <w:spacing w:after="0"/>
        <w:tabs>
          <w:tab w:leader="none" w:pos="76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To deliver promptly to the Representatives such number of the following documents as the Representatives shall reasonably request:</w:t>
      </w:r>
    </w:p>
    <w:p>
      <w:pPr>
        <w:spacing w:after="0" w:line="34" w:lineRule="exact"/>
        <w:rPr>
          <w:rFonts w:ascii="Arial" w:cs="Arial" w:eastAsia="Arial" w:hAnsi="Arial"/>
          <w:sz w:val="17"/>
          <w:szCs w:val="17"/>
          <w:color w:val="auto"/>
        </w:rPr>
      </w:pPr>
    </w:p>
    <w:p>
      <w:pPr>
        <w:ind w:right="60" w:firstLine="4"/>
        <w:spacing w:after="0" w:line="268" w:lineRule="auto"/>
        <w:tabs>
          <w:tab w:leader="none" w:pos="29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and (C) each Issuer Free Writing Prospectus; and, if the delivery of a prospectus is required at any time after the date hereof in connection with the offering or sale of the Shares and if at such time the Company shall become aware that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71" w:lineRule="exact"/>
        <w:rPr>
          <w:rFonts w:ascii="Arial" w:cs="Arial" w:eastAsia="Arial" w:hAnsi="Arial"/>
          <w:sz w:val="17"/>
          <w:szCs w:val="17"/>
          <w:color w:val="auto"/>
        </w:rPr>
      </w:pPr>
    </w:p>
    <w:p>
      <w:pPr>
        <w:ind w:right="620" w:firstLine="443"/>
        <w:spacing w:after="0" w:line="342" w:lineRule="auto"/>
        <w:tabs>
          <w:tab w:leader="none" w:pos="74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To file promptly with the Commission any amendment or supplement to the Registration Statement or the Prospectus that may, in the judgment of the Company, counsel for the Company or the Underwriters, be required by the Securities Act or requested by the Commission.</w:t>
      </w:r>
    </w:p>
    <w:p>
      <w:pPr>
        <w:spacing w:after="0" w:line="15" w:lineRule="exact"/>
        <w:rPr>
          <w:rFonts w:ascii="Arial" w:cs="Arial" w:eastAsia="Arial" w:hAnsi="Arial"/>
          <w:sz w:val="16"/>
          <w:szCs w:val="16"/>
          <w:color w:val="auto"/>
        </w:rPr>
      </w:pPr>
    </w:p>
    <w:p>
      <w:pPr>
        <w:ind w:right="100" w:firstLine="443"/>
        <w:spacing w:after="0" w:line="264" w:lineRule="auto"/>
        <w:tabs>
          <w:tab w:leader="none" w:pos="69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Prior to filing with the Commission any amendment or supplement to the Registration Statement, or the Prospectus, to furnish a copy thereof to the Representatives and counsel for the Underwriters and obtain the consent of the Representatives to the filing, which consent shall not be unreasonably withheld, delayed or conditioned.</w:t>
      </w:r>
    </w:p>
    <w:p>
      <w:pPr>
        <w:spacing w:after="0" w:line="73" w:lineRule="exact"/>
        <w:rPr>
          <w:rFonts w:ascii="Arial" w:cs="Arial" w:eastAsia="Arial" w:hAnsi="Arial"/>
          <w:sz w:val="18"/>
          <w:szCs w:val="18"/>
          <w:color w:val="auto"/>
        </w:rPr>
      </w:pPr>
    </w:p>
    <w:p>
      <w:pPr>
        <w:ind w:right="160" w:firstLine="443"/>
        <w:spacing w:after="0" w:line="277" w:lineRule="auto"/>
        <w:tabs>
          <w:tab w:leader="none" w:pos="74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Not to make any offer relating to the Shares that would constitute an Issuer Free Writing Prospectus without the prior written consent of the Representatives.</w:t>
      </w:r>
    </w:p>
    <w:p>
      <w:pPr>
        <w:spacing w:after="0" w:line="62" w:lineRule="exact"/>
        <w:rPr>
          <w:rFonts w:ascii="Arial" w:cs="Arial" w:eastAsia="Arial" w:hAnsi="Arial"/>
          <w:sz w:val="18"/>
          <w:szCs w:val="18"/>
          <w:color w:val="auto"/>
        </w:rPr>
      </w:pPr>
    </w:p>
    <w:p>
      <w:pPr>
        <w:ind w:firstLine="443"/>
        <w:spacing w:after="0" w:line="302" w:lineRule="auto"/>
        <w:tabs>
          <w:tab w:leader="none" w:pos="79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00" w:name="page201"/>
    <w:bookmarkEnd w:id="20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79" w:lineRule="exact"/>
        <w:rPr>
          <w:sz w:val="20"/>
          <w:szCs w:val="20"/>
          <w:color w:val="auto"/>
        </w:rPr>
      </w:pPr>
    </w:p>
    <w:p>
      <w:pPr>
        <w:ind w:firstLine="443"/>
        <w:spacing w:after="0" w:line="276" w:lineRule="auto"/>
        <w:tabs>
          <w:tab w:leader="none" w:pos="843" w:val="left"/>
        </w:tabs>
        <w:numPr>
          <w:ilvl w:val="1"/>
          <w:numId w:val="169"/>
        </w:numPr>
        <w:rPr>
          <w:rFonts w:ascii="Arial" w:cs="Arial" w:eastAsia="Arial" w:hAnsi="Arial"/>
          <w:sz w:val="17"/>
          <w:szCs w:val="17"/>
          <w:color w:val="auto"/>
        </w:rPr>
      </w:pPr>
      <w:r>
        <w:rPr>
          <w:rFonts w:ascii="Arial" w:cs="Arial" w:eastAsia="Arial" w:hAnsi="Arial"/>
          <w:sz w:val="17"/>
          <w:szCs w:val="17"/>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Representatives (or file with the Commission) an earnings statement of the Company and its subsidiaries (which need not be audited) complying with Section 11(a) of the Securities Act and the rules and regulations thereunder (including, at the option of the Company, Rule 158).</w:t>
      </w:r>
    </w:p>
    <w:p>
      <w:pPr>
        <w:spacing w:after="0" w:line="64" w:lineRule="exact"/>
        <w:rPr>
          <w:rFonts w:ascii="Arial" w:cs="Arial" w:eastAsia="Arial" w:hAnsi="Arial"/>
          <w:sz w:val="17"/>
          <w:szCs w:val="17"/>
          <w:color w:val="auto"/>
        </w:rPr>
      </w:pPr>
    </w:p>
    <w:p>
      <w:pPr>
        <w:ind w:right="20" w:firstLine="443"/>
        <w:spacing w:after="0" w:line="255" w:lineRule="auto"/>
        <w:tabs>
          <w:tab w:leader="none" w:pos="74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Promptly from time to time to take such action as the Representatives may reasonably request to qualify the Shares for offering and sale under the securities or Blue Sky laws of Canada and such other jurisdictions as the Representatives may reasonably request and to comply with such laws so as to permit the continuance of sales and dealings therein in such jurisdictions for as long as may be necessary to complete the distribution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85" w:lineRule="exact"/>
        <w:rPr>
          <w:rFonts w:ascii="Arial" w:cs="Arial" w:eastAsia="Arial" w:hAnsi="Arial"/>
          <w:sz w:val="18"/>
          <w:szCs w:val="18"/>
          <w:color w:val="auto"/>
        </w:rPr>
      </w:pPr>
    </w:p>
    <w:p>
      <w:pPr>
        <w:ind w:right="20" w:firstLine="443"/>
        <w:spacing w:after="0" w:line="283" w:lineRule="auto"/>
        <w:tabs>
          <w:tab w:leader="none" w:pos="693" w:val="left"/>
        </w:tabs>
        <w:numPr>
          <w:ilvl w:val="1"/>
          <w:numId w:val="169"/>
        </w:numPr>
        <w:rPr>
          <w:rFonts w:ascii="Arial" w:cs="Arial" w:eastAsia="Arial" w:hAnsi="Arial"/>
          <w:sz w:val="16"/>
          <w:szCs w:val="16"/>
          <w:color w:val="auto"/>
        </w:rPr>
      </w:pPr>
      <w:r>
        <w:rPr>
          <w:rFonts w:ascii="Arial" w:cs="Arial" w:eastAsia="Arial" w:hAnsi="Arial"/>
          <w:sz w:val="16"/>
          <w:szCs w:val="16"/>
          <w:color w:val="auto"/>
        </w:rPr>
        <w:t>For a period commencing on the date hereof and ending on the 180th day after the date of the Prospectus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not to, directly or indirectly, (A) offer for sale, sell, pledge, or otherwise dispose of (or enter into any transaction or device that is designed to, or could be expected to, result in the disposition by any person at any time in the future of) any Ordinary Shares or securities convertible into or exercisable or exchangeable for Ordinary Shares (other than the Shares and shares issued pursuant to Specified Equity Plans or pursuant to currently outstanding options, warrants or rights not issued under one of those plans), or sell or grant options, rights or warrants with respect to any Ordinary Shares or securities convertible into or exchangeable for Ordinary Shares (other than the sale or grant of securities pursuant to Specified Equity Plans), (B) enter into any swap or other derivatives transaction that transfers to another, in whole or in part, any of the economic benefits or risks of ownership of such Ordinary Shares, whether any such transaction described in clause (A) or (B) above is to be settled by delivery of Ordinary Shares or other securities, in cash or otherwise (other than the sale or grant of securities pursuant to Specified Equity Plans), (C) file or cause to be filed a registration statement, including any amendments thereto, with respect to the registration of any Ordinary Shares or securities convertible, exercisable or exchangeable into Ordinary Shares or any other securities of the Company (other than any registration statement on Form S-8 or any successor form thereto), or</w:t>
      </w:r>
    </w:p>
    <w:p>
      <w:pPr>
        <w:spacing w:after="0" w:line="4" w:lineRule="exact"/>
        <w:rPr>
          <w:rFonts w:ascii="Arial" w:cs="Arial" w:eastAsia="Arial" w:hAnsi="Arial"/>
          <w:sz w:val="16"/>
          <w:szCs w:val="16"/>
          <w:color w:val="auto"/>
        </w:rPr>
      </w:pPr>
    </w:p>
    <w:p>
      <w:pPr>
        <w:ind w:left="300" w:hanging="296"/>
        <w:spacing w:after="0"/>
        <w:tabs>
          <w:tab w:leader="none" w:pos="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publicly disclose the intention to do any</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201" w:name="page202"/>
    <w:bookmarkEnd w:id="201"/>
    <w:p>
      <w:pPr>
        <w:ind w:right="3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foregoing (other than actions permitted hereby), in each case without the prior written consent of Barclays Capital Inc. and Jefferies LLC, on behalf of the Underwriters, and to cause each officer, director and shareholder of the Company set forth on Schedule II hereto to furnish to the Representatives, prior to the Initial Delivery Date, a letter or letters, substantially in the form of Exhibit A hereto (the “</w:t>
      </w:r>
      <w:r>
        <w:rPr>
          <w:rFonts w:ascii="Arial" w:cs="Arial" w:eastAsia="Arial" w:hAnsi="Arial"/>
          <w:sz w:val="16"/>
          <w:szCs w:val="16"/>
          <w:b w:val="1"/>
          <w:bCs w:val="1"/>
          <w:i w:val="1"/>
          <w:iCs w:val="1"/>
          <w:color w:val="auto"/>
        </w:rPr>
        <w:t>Lock-Up Agreements</w:t>
      </w:r>
      <w:r>
        <w:rPr>
          <w:rFonts w:ascii="Arial" w:cs="Arial" w:eastAsia="Arial" w:hAnsi="Arial"/>
          <w:sz w:val="16"/>
          <w:szCs w:val="16"/>
          <w:color w:val="auto"/>
        </w:rPr>
        <w:t>”).</w:t>
      </w:r>
    </w:p>
    <w:p>
      <w:pPr>
        <w:spacing w:after="0" w:line="39" w:lineRule="exact"/>
        <w:rPr>
          <w:sz w:val="20"/>
          <w:szCs w:val="20"/>
          <w:color w:val="auto"/>
        </w:rPr>
      </w:pPr>
    </w:p>
    <w:p>
      <w:pPr>
        <w:ind w:right="40" w:firstLine="443"/>
        <w:spacing w:after="0" w:line="273" w:lineRule="auto"/>
        <w:tabs>
          <w:tab w:leader="none" w:pos="74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Barclays Capital Inc. and Jefferies LLC in their sole discretion, agree to release or waive the restrictions set forth in a Lock-Up Agreement for an officer or director of the Company and provides the Company with notice of the impending release or waiver at least three business days before the effective date of the release or waiver, the Company agrees to announce the impending release or waiver by issuing a press release substantially in the form of Exhibit B hereto, and containing such other information as Barclays Capital Inc. may require with respect to the circumstances of the release or waiver and/or the identity of the officer(s) and/or director(s) with respect to which the release or waiver applies, through a major news service at least two business days before the effective date of the release or waiver.</w:t>
      </w:r>
    </w:p>
    <w:p>
      <w:pPr>
        <w:spacing w:after="0" w:line="70" w:lineRule="exact"/>
        <w:rPr>
          <w:rFonts w:ascii="Arial" w:cs="Arial" w:eastAsia="Arial" w:hAnsi="Arial"/>
          <w:sz w:val="17"/>
          <w:szCs w:val="17"/>
          <w:color w:val="auto"/>
        </w:rPr>
      </w:pPr>
    </w:p>
    <w:p>
      <w:pPr>
        <w:ind w:firstLine="443"/>
        <w:spacing w:after="0" w:line="277" w:lineRule="auto"/>
        <w:tabs>
          <w:tab w:leader="none" w:pos="79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being sold by the Company substantially in accordance with the description as set forth in the Prospectus under the caption “Use of Proceeds.”</w:t>
      </w:r>
    </w:p>
    <w:p>
      <w:pPr>
        <w:spacing w:after="0" w:line="62" w:lineRule="exact"/>
        <w:rPr>
          <w:rFonts w:ascii="Arial" w:cs="Arial" w:eastAsia="Arial" w:hAnsi="Arial"/>
          <w:sz w:val="18"/>
          <w:szCs w:val="18"/>
          <w:color w:val="auto"/>
        </w:rPr>
      </w:pPr>
    </w:p>
    <w:p>
      <w:pPr>
        <w:ind w:left="840" w:hanging="397"/>
        <w:spacing w:after="0"/>
        <w:tabs>
          <w:tab w:leader="none" w:pos="8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20-F as may be required by Rule 463 under the Securities Act.</w:t>
      </w:r>
    </w:p>
    <w:p>
      <w:pPr>
        <w:spacing w:after="0" w:line="117" w:lineRule="exact"/>
        <w:rPr>
          <w:rFonts w:ascii="Arial" w:cs="Arial" w:eastAsia="Arial" w:hAnsi="Arial"/>
          <w:sz w:val="18"/>
          <w:szCs w:val="18"/>
          <w:color w:val="auto"/>
        </w:rPr>
      </w:pPr>
    </w:p>
    <w:p>
      <w:pPr>
        <w:ind w:right="20" w:firstLine="443"/>
        <w:spacing w:after="0" w:line="279" w:lineRule="auto"/>
        <w:tabs>
          <w:tab w:leader="none" w:pos="83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 or, if such fee cannot be paid at such time, as promptly thereafter as practicable and in any event within one business day thereof.</w:t>
      </w:r>
    </w:p>
    <w:p>
      <w:pPr>
        <w:spacing w:after="0" w:line="63" w:lineRule="exact"/>
        <w:rPr>
          <w:rFonts w:ascii="Arial" w:cs="Arial" w:eastAsia="Arial" w:hAnsi="Arial"/>
          <w:sz w:val="17"/>
          <w:szCs w:val="17"/>
          <w:color w:val="auto"/>
        </w:rPr>
      </w:pPr>
    </w:p>
    <w:p>
      <w:pPr>
        <w:ind w:right="100" w:firstLine="443"/>
        <w:spacing w:after="0" w:line="286" w:lineRule="auto"/>
        <w:tabs>
          <w:tab w:leader="none" w:pos="78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Company will promptly notify the Representatives if the Company ceases to be an Emerging Growth Company at any time prior to the later of (A) the time when a prospectus relating to the offering or sale of the Shares is not required by the Securities Act to be delivered (whether physically or through compliance with Rule 172 under the Securities Act or any similar rule) and (B) completion of the Lock-Up Period.</w:t>
      </w:r>
    </w:p>
    <w:p>
      <w:pPr>
        <w:spacing w:after="0" w:line="57" w:lineRule="exact"/>
        <w:rPr>
          <w:rFonts w:ascii="Arial" w:cs="Arial" w:eastAsia="Arial" w:hAnsi="Arial"/>
          <w:sz w:val="17"/>
          <w:szCs w:val="17"/>
          <w:color w:val="auto"/>
        </w:rPr>
      </w:pPr>
    </w:p>
    <w:p>
      <w:pPr>
        <w:ind w:right="100" w:firstLine="443"/>
        <w:spacing w:after="0" w:line="255" w:lineRule="auto"/>
        <w:tabs>
          <w:tab w:leader="none" w:pos="83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the Company shall become aware that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 The Company will promptly notify the Representatives of</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4" w:right="259" w:bottom="1440" w:gutter="0" w:footer="0" w:header="0"/>
        </w:sectPr>
      </w:pPr>
    </w:p>
    <w:bookmarkStart w:id="202" w:name="page203"/>
    <w:bookmarkEnd w:id="202"/>
    <w:p>
      <w:pPr>
        <w:ind w:left="452" w:right="760" w:firstLine="4"/>
        <w:spacing w:after="0" w:line="277" w:lineRule="auto"/>
        <w:tabs>
          <w:tab w:leader="none" w:pos="7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distribution by the Company of Written Testing-the-Waters Communications and (B) any request by the Commission for information concerning the Written Testing-the-Waters Communications.</w:t>
      </w:r>
    </w:p>
    <w:p>
      <w:pPr>
        <w:spacing w:after="0" w:line="62" w:lineRule="exact"/>
        <w:rPr>
          <w:rFonts w:ascii="Arial" w:cs="Arial" w:eastAsia="Arial" w:hAnsi="Arial"/>
          <w:sz w:val="18"/>
          <w:szCs w:val="18"/>
          <w:color w:val="auto"/>
        </w:rPr>
      </w:pPr>
    </w:p>
    <w:p>
      <w:pPr>
        <w:jc w:val="both"/>
        <w:ind w:left="452" w:right="540" w:firstLine="443"/>
        <w:spacing w:after="0" w:line="264" w:lineRule="auto"/>
        <w:tabs>
          <w:tab w:leader="none" w:pos="133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will not take, and will use its reasonable best efforts to cause its affiliates not to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73" w:lineRule="exact"/>
        <w:rPr>
          <w:rFonts w:ascii="Arial" w:cs="Arial" w:eastAsia="Arial" w:hAnsi="Arial"/>
          <w:sz w:val="18"/>
          <w:szCs w:val="18"/>
          <w:color w:val="auto"/>
        </w:rPr>
      </w:pPr>
    </w:p>
    <w:p>
      <w:pPr>
        <w:ind w:left="452" w:right="400" w:firstLine="443"/>
        <w:spacing w:after="0" w:line="308" w:lineRule="auto"/>
        <w:tabs>
          <w:tab w:leader="none" w:pos="1385"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Company will do and perform all things required or necessary to be done and performed under this Agreement by it prior to each Delivery Date, and to satisfy all conditions precedent to the Underwriters’ obligations hereunder to purchase the Shares.</w:t>
      </w:r>
    </w:p>
    <w:p>
      <w:pPr>
        <w:spacing w:after="0" w:line="146" w:lineRule="exact"/>
        <w:rPr>
          <w:rFonts w:ascii="Arial" w:cs="Arial" w:eastAsia="Arial" w:hAnsi="Arial"/>
          <w:sz w:val="17"/>
          <w:szCs w:val="17"/>
          <w:color w:val="auto"/>
        </w:rPr>
      </w:pPr>
    </w:p>
    <w:p>
      <w:pPr>
        <w:ind w:left="-8" w:right="260" w:firstLine="921"/>
        <w:spacing w:after="0" w:line="273" w:lineRule="auto"/>
        <w:tabs>
          <w:tab w:leader="none" w:pos="1160" w:val="left"/>
        </w:tabs>
        <w:numPr>
          <w:ilvl w:val="2"/>
          <w:numId w:val="172"/>
        </w:numPr>
        <w:rPr>
          <w:rFonts w:ascii="Arial" w:cs="Arial" w:eastAsia="Arial" w:hAnsi="Arial"/>
          <w:sz w:val="17"/>
          <w:szCs w:val="17"/>
          <w:color w:val="auto"/>
        </w:rPr>
      </w:pPr>
      <w:r>
        <w:rPr>
          <w:rFonts w:ascii="Arial" w:cs="Arial" w:eastAsia="Arial" w:hAnsi="Arial"/>
          <w:sz w:val="17"/>
          <w:szCs w:val="17"/>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7"/>
          <w:szCs w:val="17"/>
          <w:b w:val="1"/>
          <w:bCs w:val="1"/>
          <w:i w:val="1"/>
          <w:iCs w:val="1"/>
          <w:color w:val="auto"/>
        </w:rPr>
        <w:t>Permitted Issuer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no such consent shall be required with respect to any such issuer information contained in any document filed by the Company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78" w:lineRule="exact"/>
        <w:rPr>
          <w:sz w:val="20"/>
          <w:szCs w:val="20"/>
          <w:color w:val="auto"/>
        </w:rPr>
      </w:pPr>
    </w:p>
    <w:p>
      <w:pPr>
        <w:ind w:left="-8" w:right="20" w:firstLine="921"/>
        <w:spacing w:after="0" w:line="284" w:lineRule="auto"/>
        <w:tabs>
          <w:tab w:leader="none" w:pos="1085" w:val="left"/>
        </w:tabs>
        <w:numPr>
          <w:ilvl w:val="1"/>
          <w:numId w:val="173"/>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agrees, whether or not the transactions contemplated by this Agreement are consummated or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to pay all expenses, costs, fees and taxes incident to and in connection with (a) the authorization, issuance, sale and delivery of the Shares and any stamp duties or other taxes payable in that connection, and the preparation and printing of certificates for the Shares;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all as provided in this Agreement; (d) the production and distribution of this Agreement, any supplemental agreement among Underwriters, and any other related documents in connection with the offering, purchase, sale and delivery of the Shares;</w:t>
      </w:r>
    </w:p>
    <w:p>
      <w:pPr>
        <w:spacing w:after="0" w:line="1" w:lineRule="exact"/>
        <w:rPr>
          <w:rFonts w:ascii="Arial" w:cs="Arial" w:eastAsia="Arial" w:hAnsi="Arial"/>
          <w:sz w:val="16"/>
          <w:szCs w:val="16"/>
          <w:color w:val="auto"/>
        </w:rPr>
      </w:pPr>
    </w:p>
    <w:p>
      <w:pPr>
        <w:ind w:left="-8" w:firstLine="8"/>
        <w:spacing w:after="0" w:line="271" w:lineRule="auto"/>
        <w:tabs>
          <w:tab w:leader="none" w:pos="23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any required review by the FINRA of the terms of sale of the Shares (including related fees and expenses of counsel to the Underwriters); (f) the listing of the Shares on the Nasdaq Global Market and/or any other exchange; (g) the qualification of the Shares under the securities laws of the several jurisdictions as provided in Section 5(a)(ix) (including related fees and expenses of counsel to the Underwriters); </w:t>
      </w:r>
      <w:r>
        <w:rPr>
          <w:rFonts w:ascii="Arial" w:cs="Arial" w:eastAsia="Arial" w:hAnsi="Arial"/>
          <w:sz w:val="17"/>
          <w:szCs w:val="17"/>
          <w:i w:val="1"/>
          <w:iCs w:val="1"/>
          <w:color w:val="auto"/>
        </w:rPr>
        <w:t>provided</w:t>
      </w:r>
      <w:r>
        <w:rPr>
          <w:rFonts w:ascii="Arial" w:cs="Arial" w:eastAsia="Arial" w:hAnsi="Arial"/>
          <w:sz w:val="17"/>
          <w:szCs w:val="17"/>
          <w:color w:val="auto"/>
        </w:rPr>
        <w:t>, that expenses reimbursed by the Company pursuant to clauses (e) and (g) of this Section (6) shall not exceed, in the aggregate, $30,000; (i) the investor presentations on any “road show” or any Testing-the-Waters Communication, undertaken in connection with the marketing of the Shares, including,</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92"/>
          </w:cols>
          <w:pgMar w:left="248" w:top="274" w:right="259" w:bottom="1440" w:gutter="0" w:footer="0" w:header="0"/>
        </w:sectPr>
      </w:pPr>
    </w:p>
    <w:bookmarkStart w:id="203" w:name="page204"/>
    <w:bookmarkEnd w:id="203"/>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limitation, expenses associated with any electronic road show, travel and lodging expenses of the representatives and officers of the Company and the cost of any aircraft chartered in connection with the road show,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Underwriters and the Company agree that the Underwriters shall pay or cause to be paid fifty percent of the cost of any aircraft chartered in connection with the road show; and (j) all other costs and expenses incident to the performance of the obligations of the Company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provided in this Section 6 and in Section 11, the Underwriters shall pay their own costs and expenses, including the costs and expenses of their counsel, any transfer taxes on the Shares which they may sell and the expenses of advertising any offering of the Shares made by the Underwriters.</w:t>
      </w:r>
    </w:p>
    <w:p>
      <w:pPr>
        <w:spacing w:after="0" w:line="178" w:lineRule="exact"/>
        <w:rPr>
          <w:sz w:val="20"/>
          <w:szCs w:val="20"/>
          <w:color w:val="auto"/>
        </w:rPr>
      </w:pPr>
    </w:p>
    <w:p>
      <w:pPr>
        <w:ind w:firstLine="921"/>
        <w:spacing w:after="0" w:line="264" w:lineRule="auto"/>
        <w:tabs>
          <w:tab w:leader="none" w:pos="1093"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 The respective obligations of the Underwriters hereunder are subject to the accuracy, when made and</w:t>
      </w:r>
      <w:r>
        <w:rPr>
          <w:rFonts w:ascii="Arial" w:cs="Arial" w:eastAsia="Arial" w:hAnsi="Arial"/>
          <w:sz w:val="18"/>
          <w:szCs w:val="18"/>
          <w:i w:val="1"/>
          <w:iCs w:val="1"/>
          <w:color w:val="auto"/>
        </w:rPr>
        <w:t xml:space="preserve"> </w:t>
      </w:r>
      <w:r>
        <w:rPr>
          <w:rFonts w:ascii="Arial" w:cs="Arial" w:eastAsia="Arial" w:hAnsi="Arial"/>
          <w:sz w:val="18"/>
          <w:szCs w:val="18"/>
          <w:color w:val="auto"/>
        </w:rPr>
        <w:t>on each Delivery Date, of the representations and warranties of the Company contained herein, to the performance by the Company of its obligations hereunder, and to each of the following additional terms and conditions:</w:t>
      </w:r>
    </w:p>
    <w:p>
      <w:pPr>
        <w:spacing w:after="0" w:line="73" w:lineRule="exact"/>
        <w:rPr>
          <w:sz w:val="20"/>
          <w:szCs w:val="20"/>
          <w:color w:val="auto"/>
        </w:rPr>
      </w:pPr>
    </w:p>
    <w:p>
      <w:pPr>
        <w:ind w:left="460" w:right="60" w:firstLine="443"/>
        <w:spacing w:after="0" w:line="272" w:lineRule="auto"/>
        <w:tabs>
          <w:tab w:leader="none" w:pos="114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to the knowledge of the Company,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69" w:lineRule="exact"/>
        <w:rPr>
          <w:rFonts w:ascii="Arial" w:cs="Arial" w:eastAsia="Arial" w:hAnsi="Arial"/>
          <w:sz w:val="17"/>
          <w:szCs w:val="17"/>
          <w:color w:val="auto"/>
        </w:rPr>
      </w:pPr>
    </w:p>
    <w:p>
      <w:pPr>
        <w:ind w:left="460" w:right="140" w:firstLine="443"/>
        <w:spacing w:after="0" w:line="259" w:lineRule="auto"/>
        <w:tabs>
          <w:tab w:leader="none" w:pos="11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in the opinion of Skadden, Arps, Slate, Meagher &amp; Flom LLP is material or omits to state a fact which, in the opinion of such counsel, is material and is required to be stated therein or is necessary to make the statements therein not misleading.</w:t>
      </w:r>
    </w:p>
    <w:p>
      <w:pPr>
        <w:spacing w:after="0" w:line="78" w:lineRule="exact"/>
        <w:rPr>
          <w:rFonts w:ascii="Arial" w:cs="Arial" w:eastAsia="Arial" w:hAnsi="Arial"/>
          <w:sz w:val="18"/>
          <w:szCs w:val="18"/>
          <w:color w:val="auto"/>
        </w:rPr>
      </w:pPr>
    </w:p>
    <w:p>
      <w:pPr>
        <w:jc w:val="both"/>
        <w:ind w:left="460" w:right="160" w:firstLine="443"/>
        <w:spacing w:after="0" w:line="302" w:lineRule="auto"/>
        <w:tabs>
          <w:tab w:leader="none" w:pos="114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04" w:name="page205"/>
    <w:bookmarkEnd w:id="204"/>
    <w:p>
      <w:pPr>
        <w:ind w:right="620" w:firstLine="443"/>
        <w:spacing w:after="0" w:line="264" w:lineRule="auto"/>
        <w:tabs>
          <w:tab w:leader="none" w:pos="693"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White &amp; Case LLP shall have furnished to the Representatives its written opinion and negative assurance letter, as U.S. counsel to the Company, addressed to the Underwriters and dated such Delivery Date, in form and substance reasonably satisfactory to the Representatives, substantially in the form attached hereto as Exhibit C-1.</w:t>
      </w:r>
    </w:p>
    <w:p>
      <w:pPr>
        <w:spacing w:after="0" w:line="73" w:lineRule="exact"/>
        <w:rPr>
          <w:rFonts w:ascii="Arial" w:cs="Arial" w:eastAsia="Arial" w:hAnsi="Arial"/>
          <w:sz w:val="18"/>
          <w:szCs w:val="18"/>
          <w:color w:val="auto"/>
        </w:rPr>
      </w:pPr>
    </w:p>
    <w:p>
      <w:pPr>
        <w:ind w:right="160" w:firstLine="443"/>
        <w:spacing w:after="0" w:line="264" w:lineRule="auto"/>
        <w:tabs>
          <w:tab w:leader="none" w:pos="68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Goldfarb Seligman &amp; Co. shall have furnished to the Representatives its written opinion, as Israeli counsel to the Company, addressed to the Underwriters and dated such Delivery Date, in form and substance reasonably satisfactory to the Representatives, substantially in the form attached hereto as Exhibit C-2.</w:t>
      </w:r>
    </w:p>
    <w:p>
      <w:pPr>
        <w:spacing w:after="0" w:line="73" w:lineRule="exact"/>
        <w:rPr>
          <w:rFonts w:ascii="Arial" w:cs="Arial" w:eastAsia="Arial" w:hAnsi="Arial"/>
          <w:sz w:val="18"/>
          <w:szCs w:val="18"/>
          <w:color w:val="auto"/>
        </w:rPr>
      </w:pPr>
    </w:p>
    <w:p>
      <w:pPr>
        <w:ind w:right="140" w:firstLine="443"/>
        <w:spacing w:after="0" w:line="264" w:lineRule="auto"/>
        <w:tabs>
          <w:tab w:leader="none" w:pos="66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Pearl Cohen Zedek Latzer Baratz LLP shall have furnished to the Representatives its written opinion, as Intellectual Property Law counsel to the Company, addressed to the Underwriters and dated such Delivery Date, in form and substance reasonably satisfactory to the Representatives, substantially in the form attached hereto as Exhibit D.</w:t>
      </w:r>
    </w:p>
    <w:p>
      <w:pPr>
        <w:spacing w:after="0" w:line="73" w:lineRule="exact"/>
        <w:rPr>
          <w:rFonts w:ascii="Arial" w:cs="Arial" w:eastAsia="Arial" w:hAnsi="Arial"/>
          <w:sz w:val="18"/>
          <w:szCs w:val="18"/>
          <w:color w:val="auto"/>
        </w:rPr>
      </w:pPr>
    </w:p>
    <w:p>
      <w:pPr>
        <w:ind w:firstLine="443"/>
        <w:spacing w:after="0" w:line="279" w:lineRule="auto"/>
        <w:tabs>
          <w:tab w:leader="none" w:pos="69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Representatives shall have received from Skadden, Arps, Slate, Meagher &amp; Flom LLP, as U.S. counsel for the Underwriters, such opinion or opinions,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63" w:lineRule="exact"/>
        <w:rPr>
          <w:rFonts w:ascii="Arial" w:cs="Arial" w:eastAsia="Arial" w:hAnsi="Arial"/>
          <w:sz w:val="17"/>
          <w:szCs w:val="17"/>
          <w:color w:val="auto"/>
        </w:rPr>
      </w:pPr>
    </w:p>
    <w:p>
      <w:pPr>
        <w:ind w:right="320" w:firstLine="443"/>
        <w:spacing w:after="0" w:line="279" w:lineRule="auto"/>
        <w:tabs>
          <w:tab w:leader="none" w:pos="69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Representatives shall have received from Meitar Liquornik Geva Leshem Tal, as Israeli counsel for the Underwriters, such opinion or opinions, dated such Delivery Date, with respect to the issuance and sale of the Shares,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63" w:lineRule="exact"/>
        <w:rPr>
          <w:rFonts w:ascii="Arial" w:cs="Arial" w:eastAsia="Arial" w:hAnsi="Arial"/>
          <w:sz w:val="17"/>
          <w:szCs w:val="17"/>
          <w:color w:val="auto"/>
        </w:rPr>
      </w:pPr>
    </w:p>
    <w:p>
      <w:pPr>
        <w:ind w:right="180" w:firstLine="443"/>
        <w:spacing w:after="0" w:line="254" w:lineRule="auto"/>
        <w:tabs>
          <w:tab w:leader="none" w:pos="65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At the time of execution of this Agreement, the Representatives shall have received from Kost, Forer, Gabbay and Kasierer, a member of Ernst &amp; Young Global Limited a letter, in form and substance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205" w:name="page206"/>
    <w:bookmarkEnd w:id="205"/>
    <w:p>
      <w:pPr>
        <w:ind w:right="20" w:firstLine="443"/>
        <w:spacing w:after="0" w:line="290" w:lineRule="auto"/>
        <w:tabs>
          <w:tab w:leader="none" w:pos="653"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letter of Kost, Forer, Gabbay and Kasierer, a member of Ernst &amp; Young Global Limited referred to in the preceding paragraph and delivered to the Representatives concurrently with the execution of this Agreement (the “</w:t>
      </w:r>
      <w:r>
        <w:rPr>
          <w:rFonts w:ascii="Arial" w:cs="Arial" w:eastAsia="Arial" w:hAnsi="Arial"/>
          <w:sz w:val="16"/>
          <w:szCs w:val="16"/>
          <w:b w:val="1"/>
          <w:bCs w:val="1"/>
          <w:i w:val="1"/>
          <w:iCs w:val="1"/>
          <w:color w:val="auto"/>
        </w:rPr>
        <w:t>initial letter</w:t>
      </w:r>
      <w:r>
        <w:rPr>
          <w:rFonts w:ascii="Arial" w:cs="Arial" w:eastAsia="Arial" w:hAnsi="Arial"/>
          <w:sz w:val="16"/>
          <w:szCs w:val="16"/>
          <w:color w:val="auto"/>
        </w:rPr>
        <w:t>”), the Representatives shall have received a letter (the “</w:t>
      </w:r>
      <w:r>
        <w:rPr>
          <w:rFonts w:ascii="Arial" w:cs="Arial" w:eastAsia="Arial" w:hAnsi="Arial"/>
          <w:sz w:val="16"/>
          <w:szCs w:val="16"/>
          <w:b w:val="1"/>
          <w:bCs w:val="1"/>
          <w:i w:val="1"/>
          <w:iCs w:val="1"/>
          <w:color w:val="auto"/>
        </w:rPr>
        <w:t>bring-down letter</w:t>
      </w:r>
      <w:r>
        <w:rPr>
          <w:rFonts w:ascii="Arial" w:cs="Arial" w:eastAsia="Arial" w:hAnsi="Arial"/>
          <w:sz w:val="16"/>
          <w:szCs w:val="16"/>
          <w:color w:val="auto"/>
        </w:rPr>
        <w:t>”) of such accountants,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58" w:lineRule="exact"/>
        <w:rPr>
          <w:rFonts w:ascii="Arial" w:cs="Arial" w:eastAsia="Arial" w:hAnsi="Arial"/>
          <w:sz w:val="16"/>
          <w:szCs w:val="16"/>
          <w:color w:val="auto"/>
        </w:rPr>
      </w:pPr>
    </w:p>
    <w:p>
      <w:pPr>
        <w:ind w:right="100" w:firstLine="443"/>
        <w:spacing w:after="0" w:line="308" w:lineRule="auto"/>
        <w:tabs>
          <w:tab w:leader="none" w:pos="693"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Company shall have furnished to the Representatives a certificate, dated such Delivery Date, of its Chief Executive Officer and its Chief Financial Officer as to such matters as the Representatives may reasonably request, including, without limitation, a statement:</w:t>
      </w:r>
    </w:p>
    <w:p>
      <w:pPr>
        <w:spacing w:after="0" w:line="38" w:lineRule="exact"/>
        <w:rPr>
          <w:rFonts w:ascii="Arial" w:cs="Arial" w:eastAsia="Arial" w:hAnsi="Arial"/>
          <w:sz w:val="17"/>
          <w:szCs w:val="17"/>
          <w:color w:val="auto"/>
        </w:rPr>
      </w:pPr>
    </w:p>
    <w:p>
      <w:pPr>
        <w:ind w:left="460" w:right="80" w:firstLine="421"/>
        <w:spacing w:after="0" w:line="264" w:lineRule="auto"/>
        <w:tabs>
          <w:tab w:leader="none" w:pos="1095" w:val="left"/>
        </w:tabs>
        <w:numPr>
          <w:ilvl w:val="2"/>
          <w:numId w:val="178"/>
        </w:numPr>
        <w:rPr>
          <w:rFonts w:ascii="Arial" w:cs="Arial" w:eastAsia="Arial" w:hAnsi="Arial"/>
          <w:sz w:val="18"/>
          <w:szCs w:val="18"/>
          <w:color w:val="auto"/>
        </w:rPr>
      </w:pPr>
      <w:r>
        <w:rPr>
          <w:rFonts w:ascii="Arial" w:cs="Arial" w:eastAsia="Arial" w:hAnsi="Arial"/>
          <w:sz w:val="18"/>
          <w:szCs w:val="18"/>
          <w:color w:val="auto"/>
        </w:rPr>
        <w:t>That the representations and warranties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73" w:lineRule="exact"/>
        <w:rPr>
          <w:rFonts w:ascii="Arial" w:cs="Arial" w:eastAsia="Arial" w:hAnsi="Arial"/>
          <w:sz w:val="18"/>
          <w:szCs w:val="18"/>
          <w:color w:val="auto"/>
        </w:rPr>
      </w:pPr>
    </w:p>
    <w:p>
      <w:pPr>
        <w:ind w:left="460" w:right="180" w:firstLine="421"/>
        <w:spacing w:after="0" w:line="277" w:lineRule="auto"/>
        <w:tabs>
          <w:tab w:leader="none" w:pos="1145" w:val="left"/>
        </w:tabs>
        <w:numPr>
          <w:ilvl w:val="2"/>
          <w:numId w:val="178"/>
        </w:numPr>
        <w:rPr>
          <w:rFonts w:ascii="Arial" w:cs="Arial" w:eastAsia="Arial" w:hAnsi="Arial"/>
          <w:sz w:val="18"/>
          <w:szCs w:val="18"/>
          <w:color w:val="auto"/>
        </w:rPr>
      </w:pPr>
      <w:r>
        <w:rPr>
          <w:rFonts w:ascii="Arial" w:cs="Arial" w:eastAsia="Arial" w:hAnsi="Arial"/>
          <w:sz w:val="18"/>
          <w:szCs w:val="18"/>
          <w:color w:val="auto"/>
        </w:rPr>
        <w:t>That no stop order suspending the effectiveness of the Registration Statement has been issued; and no proceedings or examination for that purpose have been instituted or, to the knowledge of such officers, threatened;</w:t>
      </w:r>
    </w:p>
    <w:p>
      <w:pPr>
        <w:spacing w:after="0" w:line="62" w:lineRule="exact"/>
        <w:rPr>
          <w:rFonts w:ascii="Arial" w:cs="Arial" w:eastAsia="Arial" w:hAnsi="Arial"/>
          <w:sz w:val="18"/>
          <w:szCs w:val="18"/>
          <w:color w:val="auto"/>
        </w:rPr>
      </w:pPr>
    </w:p>
    <w:p>
      <w:pPr>
        <w:ind w:left="1200" w:hanging="319"/>
        <w:spacing w:after="0"/>
        <w:tabs>
          <w:tab w:leader="none" w:pos="1200" w:val="left"/>
        </w:tabs>
        <w:numPr>
          <w:ilvl w:val="2"/>
          <w:numId w:val="178"/>
        </w:numPr>
        <w:rPr>
          <w:rFonts w:ascii="Arial" w:cs="Arial" w:eastAsia="Arial" w:hAnsi="Arial"/>
          <w:sz w:val="17"/>
          <w:szCs w:val="17"/>
          <w:color w:val="auto"/>
        </w:rPr>
      </w:pPr>
      <w:r>
        <w:rPr>
          <w:rFonts w:ascii="Arial" w:cs="Arial" w:eastAsia="Arial" w:hAnsi="Arial"/>
          <w:sz w:val="17"/>
          <w:szCs w:val="17"/>
          <w:color w:val="auto"/>
        </w:rPr>
        <w:t>That they have examined the Registration Statement, the Prospectus and the Pricing Disclosure Package, and, in their opinion,</w:t>
      </w:r>
    </w:p>
    <w:p>
      <w:pPr>
        <w:spacing w:after="0" w:line="34" w:lineRule="exact"/>
        <w:rPr>
          <w:rFonts w:ascii="Arial" w:cs="Arial" w:eastAsia="Arial" w:hAnsi="Arial"/>
          <w:sz w:val="17"/>
          <w:szCs w:val="17"/>
          <w:color w:val="auto"/>
        </w:rPr>
      </w:pPr>
    </w:p>
    <w:p>
      <w:pPr>
        <w:ind w:left="460" w:firstLine="1"/>
        <w:spacing w:after="0" w:line="252" w:lineRule="auto"/>
        <w:tabs>
          <w:tab w:leader="none" w:pos="75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(1) the Registration Statement, as of the Effective Date, (2) the Prospectus, as of its date and on the applicable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w:t>
      </w:r>
    </w:p>
    <w:p>
      <w:pPr>
        <w:spacing w:after="0" w:line="86" w:lineRule="exact"/>
        <w:rPr>
          <w:rFonts w:ascii="Arial" w:cs="Arial" w:eastAsia="Arial" w:hAnsi="Arial"/>
          <w:sz w:val="18"/>
          <w:szCs w:val="18"/>
          <w:color w:val="auto"/>
        </w:rPr>
      </w:pPr>
    </w:p>
    <w:p>
      <w:pPr>
        <w:ind w:left="460" w:right="280" w:firstLine="421"/>
        <w:spacing w:after="0" w:line="277" w:lineRule="auto"/>
        <w:tabs>
          <w:tab w:leader="none" w:pos="1185"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To the effect of Section 7(l)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with respect to the judgment of the Representatives need be made) and Section 7(m).</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74" w:right="259" w:bottom="1440" w:gutter="0" w:footer="0" w:header="0"/>
        </w:sectPr>
      </w:pPr>
    </w:p>
    <w:bookmarkStart w:id="206" w:name="page207"/>
    <w:bookmarkEnd w:id="206"/>
    <w:p>
      <w:pPr>
        <w:ind w:firstLine="443"/>
        <w:spacing w:after="0" w:line="270" w:lineRule="auto"/>
        <w:tabs>
          <w:tab w:leader="none" w:pos="653" w:val="left"/>
        </w:tabs>
        <w:numPr>
          <w:ilvl w:val="0"/>
          <w:numId w:val="1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described in the most recent Preliminary Prospectus, (i) neither the Company nor any of its subsidiaries shall have sustained, since the date of the latest audited financial statements included in the most recent Preliminary Prospectus, any loss or interference with its business from fire, explosion, flood or other calamity, whether or not covered by insurance, or from any labor dispute or court or governmental action, order or decree, or (ii) since such date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Shares being delivered on such Delivery Date on the terms and in the manner contemplated in the Prospectus.</w:t>
      </w:r>
    </w:p>
    <w:p>
      <w:pPr>
        <w:spacing w:after="0" w:line="73" w:lineRule="exact"/>
        <w:rPr>
          <w:rFonts w:ascii="Arial" w:cs="Arial" w:eastAsia="Arial" w:hAnsi="Arial"/>
          <w:sz w:val="17"/>
          <w:szCs w:val="17"/>
          <w:color w:val="auto"/>
        </w:rPr>
      </w:pPr>
    </w:p>
    <w:p>
      <w:pPr>
        <w:ind w:right="220" w:firstLine="443"/>
        <w:spacing w:after="0" w:line="259" w:lineRule="auto"/>
        <w:tabs>
          <w:tab w:leader="none" w:pos="74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(i) no downgrading shall have occurred in the rating accorded the Company’s debt securities or preferred shares by any “nationally recognized statistical rating organization” (as defined by the Commission in Section 3(a)(62) of the Exchange Act), and (ii) no such organization shall have publicly announced that it has under surveillance or review, with possible negative implications, its rating of any of the Company’s debt securities or preferred shares.</w:t>
      </w:r>
    </w:p>
    <w:p>
      <w:pPr>
        <w:spacing w:after="0" w:line="78" w:lineRule="exact"/>
        <w:rPr>
          <w:rFonts w:ascii="Arial" w:cs="Arial" w:eastAsia="Arial" w:hAnsi="Arial"/>
          <w:sz w:val="18"/>
          <w:szCs w:val="18"/>
          <w:color w:val="auto"/>
        </w:rPr>
      </w:pPr>
    </w:p>
    <w:p>
      <w:pPr>
        <w:ind w:right="20" w:firstLine="443"/>
        <w:spacing w:after="0" w:line="269" w:lineRule="auto"/>
        <w:tabs>
          <w:tab w:leader="none" w:pos="693" w:val="left"/>
        </w:tabs>
        <w:numPr>
          <w:ilvl w:val="0"/>
          <w:numId w:val="180"/>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there shall not have occurred any of the following: (i) (A) trading in securities generally on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New York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Representatives, impracticable or inadvisable to proceed with the public offering or delivery of the Shares being delivered on such Delivery Date on the terms and in the manner contemplated in the Prospectus.</w:t>
      </w:r>
    </w:p>
    <w:p>
      <w:pPr>
        <w:spacing w:after="0" w:line="71" w:lineRule="exact"/>
        <w:rPr>
          <w:rFonts w:ascii="Arial" w:cs="Arial" w:eastAsia="Arial" w:hAnsi="Arial"/>
          <w:sz w:val="17"/>
          <w:szCs w:val="17"/>
          <w:color w:val="auto"/>
        </w:rPr>
      </w:pPr>
    </w:p>
    <w:p>
      <w:pPr>
        <w:ind w:right="160" w:firstLine="443"/>
        <w:spacing w:after="0" w:line="277" w:lineRule="auto"/>
        <w:tabs>
          <w:tab w:leader="none" w:pos="69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Nasdaq Global Market shall have approved the Shares for listing, subject only to official notice of issuance and evidence of satisfactory distribution.</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74" w:right="239" w:bottom="1440" w:gutter="0" w:footer="0" w:header="0"/>
        </w:sectPr>
      </w:pPr>
    </w:p>
    <w:bookmarkStart w:id="207" w:name="page208"/>
    <w:bookmarkEnd w:id="207"/>
    <w:p>
      <w:pPr>
        <w:ind w:left="460" w:right="140" w:firstLine="443"/>
        <w:spacing w:after="0" w:line="308" w:lineRule="auto"/>
        <w:tabs>
          <w:tab w:leader="none" w:pos="1153" w:val="left"/>
        </w:tabs>
        <w:numPr>
          <w:ilvl w:val="0"/>
          <w:numId w:val="1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Lock-Up Agreements between the Representatives and the officers, directors and shareholders of the Company set forth on Schedule II, delivered to the Representatives on or before the date of this Agreement, shall be in full force and effect on such Delivery Date.</w:t>
      </w:r>
    </w:p>
    <w:p>
      <w:pPr>
        <w:spacing w:after="0" w:line="38" w:lineRule="exact"/>
        <w:rPr>
          <w:rFonts w:ascii="Arial" w:cs="Arial" w:eastAsia="Arial" w:hAnsi="Arial"/>
          <w:sz w:val="17"/>
          <w:szCs w:val="17"/>
          <w:color w:val="auto"/>
        </w:rPr>
      </w:pPr>
    </w:p>
    <w:p>
      <w:pPr>
        <w:ind w:left="460" w:right="480" w:firstLine="443"/>
        <w:spacing w:after="0" w:line="277"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or prior to each Delivery Date, the Company shall have furnished to the Underwriters such further certificates and documents as the Representatives may reasonably request.</w:t>
      </w:r>
    </w:p>
    <w:p>
      <w:pPr>
        <w:spacing w:after="0" w:line="170"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1100" w:hanging="179"/>
        <w:spacing w:after="0"/>
        <w:tabs>
          <w:tab w:leader="none" w:pos="110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67" w:lineRule="auto"/>
        <w:tabs>
          <w:tab w:leader="none" w:pos="114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Company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(D) any materials or information provided to investors by, or with the approval of, the Company in connection with the marketing of the offering of the Shares, including any “road show” (as defined in Rule 433 under the Securities Act) not constituting an Issuer Free Writing Prospectus and any Written Testing-the-Waters Communication (“</w:t>
      </w:r>
      <w:r>
        <w:rPr>
          <w:rFonts w:ascii="Arial" w:cs="Arial" w:eastAsia="Arial" w:hAnsi="Arial"/>
          <w:sz w:val="17"/>
          <w:szCs w:val="17"/>
          <w:b w:val="1"/>
          <w:bCs w:val="1"/>
          <w:i w:val="1"/>
          <w:iCs w:val="1"/>
          <w:color w:val="auto"/>
        </w:rPr>
        <w:t>Marketing Materials</w:t>
      </w:r>
      <w:r>
        <w:rPr>
          <w:rFonts w:ascii="Arial" w:cs="Arial" w:eastAsia="Arial" w:hAnsi="Arial"/>
          <w:sz w:val="17"/>
          <w:szCs w:val="17"/>
          <w:color w:val="auto"/>
        </w:rPr>
        <w:t>”), or (E) any Blue Sky application or other document prepared or executed by the Company (or based upon any written information furnished by the Company for use therein) specifically for the purpose of qualifying any or all of the Shares under the securities laws of any state or other jurisdiction (any such application, document or information being hereinafter called a “</w:t>
      </w:r>
      <w:r>
        <w:rPr>
          <w:rFonts w:ascii="Arial" w:cs="Arial" w:eastAsia="Arial" w:hAnsi="Arial"/>
          <w:sz w:val="17"/>
          <w:szCs w:val="17"/>
          <w:b w:val="1"/>
          <w:bCs w:val="1"/>
          <w:i w:val="1"/>
          <w:iCs w:val="1"/>
          <w:color w:val="auto"/>
        </w:rPr>
        <w:t>Blue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Sky Application</w:t>
      </w:r>
      <w:r>
        <w:rPr>
          <w:rFonts w:ascii="Arial" w:cs="Arial" w:eastAsia="Arial" w:hAnsi="Arial"/>
          <w:sz w:val="17"/>
          <w:szCs w:val="17"/>
          <w:color w:val="auto"/>
        </w:rPr>
        <w:t>”) or (ii) the omission or alleged omission to state in any Preliminary Prospectus, the Registration Statement, the Prospectus, any Issuer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employee or controlling person promptly upon demand for any legal or other expenses reasonably incurred by that Underwriter, affiliate, director, officer, employee or controlling person in connection with investigating or defending or preparing to defend against any such loss, claim, damage, liability or action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08" w:name="page209"/>
    <w:bookmarkEnd w:id="208"/>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such expenses are incurred;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8(e). The foregoing indemnity agreement is in addition to any liability which the Company may otherwise have to any Underwriter or to any affiliate, director, officer, employee or controlling person of that Underwriter.</w:t>
      </w:r>
    </w:p>
    <w:p>
      <w:pPr>
        <w:spacing w:after="0" w:line="84" w:lineRule="exact"/>
        <w:rPr>
          <w:sz w:val="20"/>
          <w:szCs w:val="20"/>
          <w:color w:val="auto"/>
        </w:rPr>
      </w:pPr>
    </w:p>
    <w:p>
      <w:pPr>
        <w:ind w:right="60" w:firstLine="443"/>
        <w:spacing w:after="0" w:line="286" w:lineRule="auto"/>
        <w:tabs>
          <w:tab w:leader="none" w:pos="69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Each Underwriter, severally and not jointly, shall indemnify and hold harmless the Company, its directors, officers and employees,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 (ii) 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8(e). The foregoing indemnity agreement is in addition to any liability that any Underwriter may otherwise have to the Company or any such director, officer, employee or controlling person.</w:t>
      </w:r>
    </w:p>
    <w:p>
      <w:pPr>
        <w:spacing w:after="0" w:line="66" w:lineRule="exact"/>
        <w:rPr>
          <w:rFonts w:ascii="Arial" w:cs="Arial" w:eastAsia="Arial" w:hAnsi="Arial"/>
          <w:sz w:val="16"/>
          <w:szCs w:val="16"/>
          <w:color w:val="auto"/>
        </w:rPr>
      </w:pPr>
    </w:p>
    <w:p>
      <w:pPr>
        <w:ind w:firstLine="443"/>
        <w:spacing w:after="0" w:line="255" w:lineRule="auto"/>
        <w:tabs>
          <w:tab w:leader="none" w:pos="68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10, notify the indemnifying party in writing of the claim or the commencement of that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failure to notify the indemnifying party shall not relieve it from any liability which it may have under this Section 8 except to the extent it has been materially prejudiced (through the forfeiture of substantive rights and defenses) by such failure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failure to notify the indemnifying party shall not relieve it from any liability which it may have to an indemnified party otherwise than under this Section 8. If any such claim or action shall be brought against an indemnified party, and it shall notify the indemnifying party thereof, the indemnifying</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74" w:right="239" w:bottom="1440" w:gutter="0" w:footer="0" w:header="0"/>
        </w:sectPr>
      </w:pPr>
    </w:p>
    <w:bookmarkStart w:id="209" w:name="page210"/>
    <w:bookmarkEnd w:id="20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8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8(a)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45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274" w:right="279" w:bottom="1440" w:gutter="0" w:footer="0" w:header="0"/>
        </w:sectPr>
      </w:pPr>
    </w:p>
    <w:bookmarkStart w:id="210" w:name="page211"/>
    <w:bookmarkEnd w:id="210"/>
    <w:p>
      <w:pPr>
        <w:ind w:right="40" w:firstLine="443"/>
        <w:spacing w:after="0" w:line="285" w:lineRule="auto"/>
        <w:tabs>
          <w:tab w:leader="none" w:pos="693" w:val="left"/>
        </w:tabs>
        <w:numPr>
          <w:ilvl w:val="1"/>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Section 8 shall for any reason be unavailable to or insufficient to hold harmless an indemnified party under Section 8(a) or 8(b)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Shares, or (ii) if the allocation provided by clause</w:t>
      </w:r>
    </w:p>
    <w:p>
      <w:pPr>
        <w:spacing w:after="0" w:line="2" w:lineRule="exact"/>
        <w:rPr>
          <w:rFonts w:ascii="Arial" w:cs="Arial" w:eastAsia="Arial" w:hAnsi="Arial"/>
          <w:sz w:val="16"/>
          <w:szCs w:val="16"/>
          <w:color w:val="auto"/>
        </w:rPr>
      </w:pPr>
    </w:p>
    <w:p>
      <w:pPr>
        <w:ind w:firstLine="4"/>
        <w:spacing w:after="0" w:line="284" w:lineRule="auto"/>
        <w:tabs>
          <w:tab w:leader="none" w:pos="21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purchased under this Agreement (before deducting expenses) received by the Company,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8(d)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any legal or other expenses reasonably incurred by such indemnified party in connection with investigating or defending any such action or claim. Notwithstanding the provisions of this Section 8(d),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8(d) are several in proportion to their respective underwriting obligations and not joint.</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74" w:right="239" w:bottom="1440" w:gutter="0" w:footer="0" w:header="0"/>
        </w:sectPr>
      </w:pPr>
    </w:p>
    <w:bookmarkStart w:id="211" w:name="page212"/>
    <w:bookmarkEnd w:id="211"/>
    <w:p>
      <w:pPr>
        <w:ind w:right="120" w:firstLine="443"/>
        <w:spacing w:after="0" w:line="255" w:lineRule="auto"/>
        <w:tabs>
          <w:tab w:leader="none" w:pos="683"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Underwriters severally confirm and the Company acknowledges and agrees that the statements regarding delivery of shares by the Underwriters set forth on the cover page of, and the concession and reallowance figures and the paragraph relating to stabilization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93" w:lineRule="exact"/>
        <w:rPr>
          <w:sz w:val="20"/>
          <w:szCs w:val="20"/>
          <w:color w:val="auto"/>
        </w:rPr>
      </w:pPr>
    </w:p>
    <w:p>
      <w:pPr>
        <w:ind w:left="640" w:hanging="179"/>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Defaulting Underwriters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21"/>
        <w:spacing w:after="0" w:line="286" w:lineRule="auto"/>
        <w:tabs>
          <w:tab w:leader="none" w:pos="1125"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If, on any Delivery Date, any Underwriter defaults in its obligations to purchase the Shares that it has agreed to purchase under this Agreement, the remaining non-defaulting Underwriters may in their discretion arrange for the purchase of such Shares by the non-defaulting Underwriters or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In the event that within the respective prescribed periods, the non-defaulting Underwriters notify the Company that they have so arranged for the purchase of such Shares, or the Company notifies the non-defaulting Underwriters that it has so arranged for the purchase of such Shares,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includes, for all purposes of this Agreement unless the context requires otherwise, any party not listed in Schedule I hereto that, pursuant to this Section 9, purchases Shares that a defaulting Underwriter agreed but failed to purchase.</w:t>
      </w:r>
    </w:p>
    <w:p>
      <w:pPr>
        <w:spacing w:after="0" w:line="66" w:lineRule="exact"/>
        <w:rPr>
          <w:rFonts w:ascii="Arial" w:cs="Arial" w:eastAsia="Arial" w:hAnsi="Arial"/>
          <w:sz w:val="16"/>
          <w:szCs w:val="16"/>
          <w:color w:val="auto"/>
        </w:rPr>
      </w:pPr>
    </w:p>
    <w:p>
      <w:pPr>
        <w:ind w:left="460" w:right="100" w:firstLine="421"/>
        <w:spacing w:after="0" w:line="273" w:lineRule="auto"/>
        <w:tabs>
          <w:tab w:leader="none" w:pos="1135"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If, after giving effect to any arrangements for the purchase of the Shares of a defaulting Underwriter or Underwriters by the non-defaulting Underwriters and the Company as provided in paragraph (a) above, the total number of Shares that remains unpurchased does not exceed one-eleventh of the total number of Shares to be purchased on such Delivery Date, then the Company shall have the right to require each non-defaulting Underwriter to purchase the total number of Shares that such Underwriter agreed to purchase hereunder plus such Underwriter’s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(based on the total number of Shares that such Underwriter agreed to purchase hereunder) of the Shares of such defaulting Underwriter or Underwriters for which such arrangements have not been made;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700" w:top="274" w:right="239" w:bottom="1440" w:gutter="0" w:footer="0" w:header="0"/>
        </w:sectPr>
      </w:pPr>
    </w:p>
    <w:bookmarkStart w:id="212" w:name="page213"/>
    <w:bookmarkEnd w:id="212"/>
    <w:p>
      <w:pPr>
        <w:ind w:left="900" w:right="18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w:t>
      </w:r>
      <w:r>
        <w:rPr>
          <w:rFonts w:ascii="Arial" w:cs="Arial" w:eastAsia="Arial" w:hAnsi="Arial"/>
          <w:sz w:val="18"/>
          <w:szCs w:val="18"/>
          <w:color w:val="auto"/>
        </w:rPr>
        <w:t>that the non-defaulting Underwriters shall not be obligated to purchase more than 110% of the total number of Shares that it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on such Delivery Date pursuant to the terms of Section 2.</w:t>
      </w:r>
    </w:p>
    <w:p>
      <w:pPr>
        <w:spacing w:after="0" w:line="62" w:lineRule="exact"/>
        <w:rPr>
          <w:sz w:val="20"/>
          <w:szCs w:val="20"/>
          <w:color w:val="auto"/>
        </w:rPr>
      </w:pPr>
    </w:p>
    <w:p>
      <w:pPr>
        <w:ind w:left="900" w:right="40" w:firstLine="421"/>
        <w:spacing w:after="0" w:line="273" w:lineRule="auto"/>
        <w:tabs>
          <w:tab w:leader="none" w:pos="1565" w:val="left"/>
        </w:tabs>
        <w:numPr>
          <w:ilvl w:val="1"/>
          <w:numId w:val="189"/>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total number of Shares that remains unpurchased exceeds one-eleventh of the total number of Shares, or if the Company shall not exercise the right described in paragraph (b) above, then this Agreement shall terminate without liability on the part of the non-defaulting Underwriters. Any termination of this Agreement pursuant to this Section 9 shall be without liability on the part of the Company, except that the Company will continue to be liable for the payment of expenses as set forth in Sections 6 and 11 and except that the provisions of Section 8 shall not terminate and shall remain in effect.</w:t>
      </w:r>
    </w:p>
    <w:p>
      <w:pPr>
        <w:spacing w:after="0" w:line="70" w:lineRule="exact"/>
        <w:rPr>
          <w:rFonts w:ascii="Arial" w:cs="Arial" w:eastAsia="Arial" w:hAnsi="Arial"/>
          <w:sz w:val="17"/>
          <w:szCs w:val="17"/>
          <w:color w:val="auto"/>
        </w:rPr>
      </w:pPr>
    </w:p>
    <w:p>
      <w:pPr>
        <w:ind w:left="900" w:right="440" w:firstLine="421"/>
        <w:spacing w:after="0" w:line="277" w:lineRule="auto"/>
        <w:tabs>
          <w:tab w:leader="none" w:pos="157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rFonts w:ascii="Arial" w:cs="Arial" w:eastAsia="Arial" w:hAnsi="Arial"/>
          <w:sz w:val="18"/>
          <w:szCs w:val="18"/>
          <w:color w:val="auto"/>
        </w:rPr>
      </w:pPr>
    </w:p>
    <w:p>
      <w:pPr>
        <w:ind w:left="-20" w:right="60" w:firstLine="921"/>
        <w:spacing w:after="0" w:line="264" w:lineRule="auto"/>
        <w:tabs>
          <w:tab w:leader="none" w:pos="1163"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obligations of the Underwriters hereunder may be terminated by the Representatives by notice given to and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prior to delivery of and payment for the Firm Shares if, prior to that time, any of the events described in Sections 7(l), 7(m) and 7(n) shall have occurred or if the Underwriters shall decline to purchase the Shares for any reason permitted under this Agreement.</w:t>
      </w:r>
    </w:p>
    <w:p>
      <w:pPr>
        <w:spacing w:after="0" w:line="181" w:lineRule="exact"/>
        <w:rPr>
          <w:rFonts w:ascii="Arial" w:cs="Arial" w:eastAsia="Arial" w:hAnsi="Arial"/>
          <w:sz w:val="18"/>
          <w:szCs w:val="18"/>
          <w:color w:val="auto"/>
        </w:rPr>
      </w:pPr>
    </w:p>
    <w:p>
      <w:pPr>
        <w:ind w:left="-20" w:firstLine="921"/>
        <w:spacing w:after="0" w:line="293" w:lineRule="auto"/>
        <w:tabs>
          <w:tab w:leader="none" w:pos="1156"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Reimbursement of Underwriters’ Expenses</w:t>
      </w:r>
      <w:r>
        <w:rPr>
          <w:rFonts w:ascii="Arial" w:cs="Arial" w:eastAsia="Arial" w:hAnsi="Arial"/>
          <w:sz w:val="16"/>
          <w:szCs w:val="16"/>
          <w:color w:val="auto"/>
        </w:rPr>
        <w:t>. If (a) the Company shall fail to tender the Shares for delivery to the Underwriters for any reason,</w:t>
      </w:r>
      <w:r>
        <w:rPr>
          <w:rFonts w:ascii="Arial" w:cs="Arial" w:eastAsia="Arial" w:hAnsi="Arial"/>
          <w:sz w:val="16"/>
          <w:szCs w:val="16"/>
          <w:i w:val="1"/>
          <w:iCs w:val="1"/>
          <w:color w:val="auto"/>
        </w:rPr>
        <w:t xml:space="preserve"> </w:t>
      </w:r>
      <w:r>
        <w:rPr>
          <w:rFonts w:ascii="Arial" w:cs="Arial" w:eastAsia="Arial" w:hAnsi="Arial"/>
          <w:sz w:val="16"/>
          <w:szCs w:val="16"/>
          <w:color w:val="auto"/>
        </w:rPr>
        <w:t>or (b) the Underwriters shall decline to purchase the Shares for any reason permitted under this Agreement, the Company will reimburse the Underwriters for all reasonable out-of-pocket expenses (including fees and disbursements of counsel for the Underwriters) incurred by the Underwriters in connection with this Agreement and the proposed purchase of the Shares, and upon demand the Company shall pay the full amount thereof to the Representatives, subject to the delivery to the Company of reasonable documentation thereof. If this Agreement is terminated pursuant to Section 9 by reason of the default of one or more Underwriters, the Company shall not be obligated to reimburse any defaulting Underwriter on account of those expenses.</w:t>
      </w:r>
    </w:p>
    <w:p>
      <w:pPr>
        <w:spacing w:after="0" w:line="164" w:lineRule="exact"/>
        <w:rPr>
          <w:rFonts w:ascii="Arial" w:cs="Arial" w:eastAsia="Arial" w:hAnsi="Arial"/>
          <w:sz w:val="16"/>
          <w:szCs w:val="16"/>
          <w:color w:val="auto"/>
        </w:rPr>
      </w:pPr>
    </w:p>
    <w:p>
      <w:pPr>
        <w:ind w:left="-20" w:right="60" w:firstLine="921"/>
        <w:spacing w:after="0" w:line="255" w:lineRule="auto"/>
        <w:tabs>
          <w:tab w:leader="none" w:pos="1163"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Research Analyst Independence</w:t>
      </w:r>
      <w:r>
        <w:rPr>
          <w:rFonts w:ascii="Arial" w:cs="Arial" w:eastAsia="Arial" w:hAnsi="Arial"/>
          <w:sz w:val="18"/>
          <w:szCs w:val="18"/>
          <w:color w:val="auto"/>
        </w:rPr>
        <w:t>. The Company acknowledges that the Underwriters’ research analysts and research departments are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60" w:top="274" w:right="259" w:bottom="1440" w:gutter="0" w:footer="0" w:header="0"/>
        </w:sectPr>
      </w:pPr>
    </w:p>
    <w:bookmarkStart w:id="213" w:name="page214"/>
    <w:bookmarkEnd w:id="213"/>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6" w:lineRule="exact"/>
        <w:rPr>
          <w:sz w:val="20"/>
          <w:szCs w:val="20"/>
          <w:color w:val="auto"/>
        </w:rPr>
      </w:pPr>
    </w:p>
    <w:p>
      <w:pPr>
        <w:ind w:firstLine="921"/>
        <w:spacing w:after="0" w:line="270" w:lineRule="auto"/>
        <w:tabs>
          <w:tab w:leader="none" w:pos="1183" w:val="left"/>
        </w:tabs>
        <w:numPr>
          <w:ilvl w:val="0"/>
          <w:numId w:val="191"/>
        </w:numPr>
        <w:rPr>
          <w:rFonts w:ascii="Arial" w:cs="Arial" w:eastAsia="Arial" w:hAnsi="Arial"/>
          <w:sz w:val="17"/>
          <w:szCs w:val="17"/>
          <w:color w:val="auto"/>
        </w:rPr>
      </w:pPr>
      <w:r>
        <w:rPr>
          <w:rFonts w:ascii="Arial" w:cs="Arial" w:eastAsia="Arial" w:hAnsi="Arial"/>
          <w:sz w:val="17"/>
          <w:szCs w:val="17"/>
          <w:i w:val="1"/>
          <w:iCs w:val="1"/>
          <w:color w:val="auto"/>
        </w:rPr>
        <w:t>No Fiduciary Duty</w:t>
      </w:r>
      <w:r>
        <w:rPr>
          <w:rFonts w:ascii="Arial" w:cs="Arial" w:eastAsia="Arial" w:hAnsi="Arial"/>
          <w:sz w:val="17"/>
          <w:szCs w:val="17"/>
          <w:color w:val="auto"/>
        </w:rPr>
        <w:t>. The Company acknowledges and agrees that in connection with this offering, sale of the Shares or any other services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and any other person, on the one hand, and the Underwriters, on the other, exists; (b) the Underwriters are not acting as advisors, expert or otherwise, to the Company, including, without limitation, with respect to the determination of the public offering price of the Shares, and such relationship between the Company, on the one hand, and the Underwriters, on the other, is entirely and solely commercial, based on arms-length negotiations; (c) any duties and obligations that the Underwriters may have to the Company shall be limited to those duties and obligations specifically stated herein; and (d) the Underwriters and their respective affiliates may have interests that differ from those of the Company. The Company hereby waives any claims that the Company may have against the Underwriters with respect to any breach of fiduciary duty in connection with this offering.</w:t>
      </w:r>
    </w:p>
    <w:p>
      <w:pPr>
        <w:spacing w:after="0" w:line="181" w:lineRule="exact"/>
        <w:rPr>
          <w:rFonts w:ascii="Arial" w:cs="Arial" w:eastAsia="Arial" w:hAnsi="Arial"/>
          <w:sz w:val="17"/>
          <w:szCs w:val="17"/>
          <w:color w:val="auto"/>
        </w:rPr>
      </w:pPr>
    </w:p>
    <w:p>
      <w:pPr>
        <w:ind w:left="1200" w:hanging="279"/>
        <w:spacing w:after="0"/>
        <w:tabs>
          <w:tab w:leader="none" w:pos="120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Notices, etc</w:t>
      </w:r>
      <w:r>
        <w:rPr>
          <w:rFonts w:ascii="Arial" w:cs="Arial" w:eastAsia="Arial" w:hAnsi="Arial"/>
          <w:sz w:val="18"/>
          <w:szCs w:val="18"/>
          <w:color w:val="auto"/>
        </w:rPr>
        <w:t>. All statements, requests, notices and agreements hereunder shall be in writing, and:</w:t>
      </w:r>
    </w:p>
    <w:p>
      <w:pPr>
        <w:spacing w:after="0" w:line="117" w:lineRule="exact"/>
        <w:rPr>
          <w:rFonts w:ascii="Arial" w:cs="Arial" w:eastAsia="Arial" w:hAnsi="Arial"/>
          <w:sz w:val="18"/>
          <w:szCs w:val="18"/>
          <w:color w:val="auto"/>
        </w:rPr>
      </w:pPr>
    </w:p>
    <w:p>
      <w:pPr>
        <w:ind w:left="920" w:right="60" w:firstLine="421"/>
        <w:spacing w:after="0" w:line="279" w:lineRule="auto"/>
        <w:tabs>
          <w:tab w:leader="none" w:pos="1585" w:val="left"/>
        </w:tabs>
        <w:numPr>
          <w:ilvl w:val="1"/>
          <w:numId w:val="191"/>
        </w:numPr>
        <w:rPr>
          <w:rFonts w:ascii="Arial" w:cs="Arial" w:eastAsia="Arial" w:hAnsi="Arial"/>
          <w:sz w:val="17"/>
          <w:szCs w:val="17"/>
          <w:color w:val="auto"/>
        </w:rPr>
      </w:pPr>
      <w:r>
        <w:rPr>
          <w:rFonts w:ascii="Arial" w:cs="Arial" w:eastAsia="Arial" w:hAnsi="Arial"/>
          <w:sz w:val="17"/>
          <w:szCs w:val="17"/>
          <w:color w:val="auto"/>
        </w:rPr>
        <w:t>if to the Underwriters, shall be delivered or sent by mail or facsimile transmission to Barclays Capital Inc., 745 Seventh Avenue, New York, New York 10019, Attention: Syndicate Registration (Fax: (646) 834-8133), with a copy, in the case of any notice pursuant to Section 8(c), to the Director of Litigation, Office of the General Counsel, Barclays Capital Inc., 745 Seventh Avenue, New York, New York 10019; and Jefferies LLC, 520 Madison Avenue, New York, New York 10022, Attention: General Counsel (Fax: (646) 619-4437); and</w:t>
      </w:r>
    </w:p>
    <w:p>
      <w:pPr>
        <w:spacing w:after="0" w:line="63" w:lineRule="exact"/>
        <w:rPr>
          <w:rFonts w:ascii="Arial" w:cs="Arial" w:eastAsia="Arial" w:hAnsi="Arial"/>
          <w:sz w:val="17"/>
          <w:szCs w:val="17"/>
          <w:color w:val="auto"/>
        </w:rPr>
      </w:pPr>
    </w:p>
    <w:p>
      <w:pPr>
        <w:ind w:left="920" w:right="820" w:firstLine="421"/>
        <w:spacing w:after="0" w:line="277" w:lineRule="auto"/>
        <w:tabs>
          <w:tab w:leader="none" w:pos="159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or facsimile transmission to the address of the Company set forth in the Registration Statement, Attention: Larry Jasinski (Fax: (508) 251-2970).</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Any such statements, requests, notices or agreements shall take effect at the time of receipt thereof. The Company shall be entitled to act and rely upon any request, consent, notice or agreement given or made on behalf of the Underwriters by Barclays Capital Inc. and Jefferies LLC.</w:t>
      </w:r>
    </w:p>
    <w:p>
      <w:pPr>
        <w:spacing w:after="0" w:line="147" w:lineRule="exact"/>
        <w:rPr>
          <w:sz w:val="20"/>
          <w:szCs w:val="20"/>
          <w:color w:val="auto"/>
        </w:rPr>
      </w:pPr>
    </w:p>
    <w:p>
      <w:pPr>
        <w:ind w:right="140" w:firstLine="921"/>
        <w:spacing w:after="0" w:line="259" w:lineRule="auto"/>
        <w:tabs>
          <w:tab w:leader="none" w:pos="1183"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Persons Entitled to Benefit of Agreement</w:t>
      </w:r>
      <w:r>
        <w:rPr>
          <w:rFonts w:ascii="Arial" w:cs="Arial" w:eastAsia="Arial" w:hAnsi="Arial"/>
          <w:sz w:val="18"/>
          <w:szCs w:val="18"/>
          <w:color w:val="auto"/>
        </w:rPr>
        <w:t>. This Agreement shall inure to the benefit of and be binding upon the Underwriters,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directors,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214" w:name="page215"/>
    <w:bookmarkEnd w:id="214"/>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officers and employees of the Underwriters and each person or persons, if any, who control any Underwriter within the meaning of Section 15 of the Securities Act, and (b) the indemnity agreement of the Underwriters contained in Section 8(b) of this Agreement shall be deemed to be for the benefit of the directors, officers and employees of the Company and any person controlling the Company within the meaning of Section 15 of the Securities Act or Section 20 of the Exchange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73" w:lineRule="exact"/>
        <w:rPr>
          <w:sz w:val="20"/>
          <w:szCs w:val="20"/>
          <w:color w:val="auto"/>
        </w:rPr>
      </w:pPr>
    </w:p>
    <w:p>
      <w:pPr>
        <w:jc w:val="both"/>
        <w:ind w:right="400" w:firstLine="921"/>
        <w:spacing w:after="0" w:line="312" w:lineRule="auto"/>
        <w:tabs>
          <w:tab w:leader="none" w:pos="1183"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 xml:space="preserve">Survival. </w:t>
      </w:r>
      <w:r>
        <w:rPr>
          <w:rFonts w:ascii="Arial" w:cs="Arial" w:eastAsia="Arial" w:hAnsi="Arial"/>
          <w:sz w:val="16"/>
          <w:szCs w:val="16"/>
          <w:color w:val="auto"/>
        </w:rPr>
        <w:t>The respective indemnities, representations, warranties and agreements of the Company and the Underwriters contained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146" w:lineRule="exact"/>
        <w:rPr>
          <w:rFonts w:ascii="Arial" w:cs="Arial" w:eastAsia="Arial" w:hAnsi="Arial"/>
          <w:sz w:val="16"/>
          <w:szCs w:val="16"/>
          <w:color w:val="auto"/>
        </w:rPr>
      </w:pPr>
    </w:p>
    <w:p>
      <w:pPr>
        <w:ind w:firstLine="921"/>
        <w:spacing w:after="0" w:line="286" w:lineRule="auto"/>
        <w:tabs>
          <w:tab w:leader="none" w:pos="1183"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Definition of the Terms “Business Day”, “Affiliate” and “Subsidiary”</w:t>
      </w:r>
      <w:r>
        <w:rPr>
          <w:rFonts w:ascii="Arial" w:cs="Arial" w:eastAsia="Arial" w:hAnsi="Arial"/>
          <w:sz w:val="17"/>
          <w:szCs w:val="17"/>
          <w:color w:val="auto"/>
        </w:rPr>
        <w:t>. For purposes of this Agreement, (a) “</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each</w:t>
      </w:r>
      <w:r>
        <w:rPr>
          <w:rFonts w:ascii="Arial" w:cs="Arial" w:eastAsia="Arial" w:hAnsi="Arial"/>
          <w:sz w:val="17"/>
          <w:szCs w:val="17"/>
          <w:i w:val="1"/>
          <w:iCs w:val="1"/>
          <w:color w:val="auto"/>
        </w:rPr>
        <w:t xml:space="preserve"> </w:t>
      </w:r>
      <w:r>
        <w:rPr>
          <w:rFonts w:ascii="Arial" w:cs="Arial" w:eastAsia="Arial" w:hAnsi="Arial"/>
          <w:sz w:val="17"/>
          <w:szCs w:val="17"/>
          <w:color w:val="auto"/>
        </w:rPr>
        <w:t>Monday, Tuesday, Wednesday, Thursday or Friday that is not a day on which banking institutions in New York are generally authorized or obligated by law or executive order to close, and (b)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and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have the meanings set forth in Rule 405 under the Securities Act.</w:t>
      </w:r>
    </w:p>
    <w:p>
      <w:pPr>
        <w:spacing w:after="0" w:line="161" w:lineRule="exact"/>
        <w:rPr>
          <w:rFonts w:ascii="Arial" w:cs="Arial" w:eastAsia="Arial" w:hAnsi="Arial"/>
          <w:sz w:val="17"/>
          <w:szCs w:val="17"/>
          <w:color w:val="auto"/>
        </w:rPr>
      </w:pPr>
    </w:p>
    <w:p>
      <w:pPr>
        <w:ind w:right="300" w:firstLine="921"/>
        <w:spacing w:after="0" w:line="282" w:lineRule="auto"/>
        <w:tabs>
          <w:tab w:leader="none" w:pos="1183"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shall be governed by and construed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regard to conflict of laws principles (other than Section 5-1401 of the General Obligations Law).</w:t>
      </w:r>
    </w:p>
    <w:p>
      <w:pPr>
        <w:spacing w:after="0" w:line="165" w:lineRule="exact"/>
        <w:rPr>
          <w:rFonts w:ascii="Arial" w:cs="Arial" w:eastAsia="Arial" w:hAnsi="Arial"/>
          <w:sz w:val="18"/>
          <w:szCs w:val="18"/>
          <w:color w:val="auto"/>
        </w:rPr>
      </w:pPr>
    </w:p>
    <w:p>
      <w:pPr>
        <w:ind w:right="60" w:firstLine="921"/>
        <w:spacing w:after="0" w:line="308" w:lineRule="auto"/>
        <w:tabs>
          <w:tab w:leader="none" w:pos="1183"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Waiver of Jury Trial</w:t>
      </w:r>
      <w:r>
        <w:rPr>
          <w:rFonts w:ascii="Arial" w:cs="Arial" w:eastAsia="Arial" w:hAnsi="Arial"/>
          <w:sz w:val="17"/>
          <w:szCs w:val="17"/>
          <w:color w:val="auto"/>
        </w:rPr>
        <w:t>. The Company and the Underwriters hereby irrevocably waive, to the fullest extent permitted by applicable law, any and</w:t>
      </w:r>
      <w:r>
        <w:rPr>
          <w:rFonts w:ascii="Arial" w:cs="Arial" w:eastAsia="Arial" w:hAnsi="Arial"/>
          <w:sz w:val="17"/>
          <w:szCs w:val="17"/>
          <w:i w:val="1"/>
          <w:iCs w:val="1"/>
          <w:color w:val="auto"/>
        </w:rPr>
        <w:t xml:space="preserve"> </w:t>
      </w:r>
      <w:r>
        <w:rPr>
          <w:rFonts w:ascii="Arial" w:cs="Arial" w:eastAsia="Arial" w:hAnsi="Arial"/>
          <w:sz w:val="17"/>
          <w:szCs w:val="17"/>
          <w:color w:val="auto"/>
        </w:rPr>
        <w:t>all right to trial by jury in any legal proceeding arising out of or relating to this Agreement or the transactions contemplated hereby.</w:t>
      </w:r>
    </w:p>
    <w:p>
      <w:pPr>
        <w:spacing w:after="0" w:line="146" w:lineRule="exact"/>
        <w:rPr>
          <w:rFonts w:ascii="Arial" w:cs="Arial" w:eastAsia="Arial" w:hAnsi="Arial"/>
          <w:sz w:val="17"/>
          <w:szCs w:val="17"/>
          <w:color w:val="auto"/>
        </w:rPr>
      </w:pPr>
    </w:p>
    <w:p>
      <w:pPr>
        <w:ind w:right="60" w:firstLine="921"/>
        <w:spacing w:after="0" w:line="270" w:lineRule="auto"/>
        <w:tabs>
          <w:tab w:leader="none" w:pos="1183"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 xml:space="preserve">Submission to Jurisdiction, Etc. </w:t>
      </w:r>
      <w:r>
        <w:rPr>
          <w:rFonts w:ascii="Arial" w:cs="Arial" w:eastAsia="Arial" w:hAnsi="Arial"/>
          <w:sz w:val="17"/>
          <w:szCs w:val="17"/>
          <w:color w:val="auto"/>
        </w:rPr>
        <w:t>The Company hereby submits to the exclusive jurisdiction of the U.S. federal and New York state courts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irrevocably appoints ReWalk Robotics, Inc. 33 Locke Drive, Marlborough, Massachusetts 01752, as its authorized agent in the United States upon which process may be served in any such suit or proceeding, and agrees that service of process upon such agent, and written notice of said service to the Company by the person serving the same to the address provided in Section 14 shall be deemed in every respect effective service of process upon the Company in any such suit or proceeding. The Company further agrees to take any and all actions as may be necessary to maintain such designation and appointment of such agent in full force and effect for a period of five years from the date of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15" w:name="page216"/>
    <w:bookmarkEnd w:id="215"/>
    <w:p>
      <w:pPr>
        <w:ind w:left="-40" w:firstLine="921"/>
        <w:spacing w:after="0" w:line="255" w:lineRule="auto"/>
        <w:tabs>
          <w:tab w:leader="none" w:pos="1143"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Waiver of Immunity. </w:t>
      </w:r>
      <w:r>
        <w:rPr>
          <w:rFonts w:ascii="Arial" w:cs="Arial" w:eastAsia="Arial" w:hAnsi="Arial"/>
          <w:sz w:val="18"/>
          <w:szCs w:val="18"/>
          <w:color w:val="auto"/>
        </w:rPr>
        <w:t>With respect to any suit or proceeding arising out of or relating to this Agreement or the transactions contemplated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193" w:lineRule="exact"/>
        <w:rPr>
          <w:rFonts w:ascii="Arial" w:cs="Arial" w:eastAsia="Arial" w:hAnsi="Arial"/>
          <w:sz w:val="18"/>
          <w:szCs w:val="18"/>
          <w:color w:val="auto"/>
        </w:rPr>
      </w:pPr>
    </w:p>
    <w:p>
      <w:pPr>
        <w:ind w:left="-40" w:right="80" w:firstLine="921"/>
        <w:spacing w:after="0" w:line="290" w:lineRule="auto"/>
        <w:tabs>
          <w:tab w:leader="none" w:pos="1143"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Judgment Currency</w:t>
      </w:r>
      <w:r>
        <w:rPr>
          <w:rFonts w:ascii="Arial" w:cs="Arial" w:eastAsia="Arial" w:hAnsi="Arial"/>
          <w:sz w:val="16"/>
          <w:szCs w:val="16"/>
          <w:color w:val="auto"/>
        </w:rPr>
        <w:t>. The obligation of the Company in respect of any sum due to any Underwriter under this Agreement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any judgment in a currency other than U.S. dollars or any other applicable currency (the “</w:t>
      </w:r>
      <w:r>
        <w:rPr>
          <w:rFonts w:ascii="Arial" w:cs="Arial" w:eastAsia="Arial" w:hAnsi="Arial"/>
          <w:sz w:val="16"/>
          <w:szCs w:val="16"/>
          <w:b w:val="1"/>
          <w:bCs w:val="1"/>
          <w:i w:val="1"/>
          <w:iCs w:val="1"/>
          <w:color w:val="auto"/>
        </w:rPr>
        <w:t>Judgment Currency</w:t>
      </w:r>
      <w:r>
        <w:rPr>
          <w:rFonts w:ascii="Arial" w:cs="Arial" w:eastAsia="Arial" w:hAnsi="Arial"/>
          <w:sz w:val="16"/>
          <w:szCs w:val="16"/>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agrees,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an amount equal to the excess of the U.S. dollars or other applicable currency so purchased over the sum originally due to such Underwriter hereunder.</w:t>
      </w:r>
    </w:p>
    <w:p>
      <w:pPr>
        <w:spacing w:after="0" w:line="166" w:lineRule="exact"/>
        <w:rPr>
          <w:rFonts w:ascii="Arial" w:cs="Arial" w:eastAsia="Arial" w:hAnsi="Arial"/>
          <w:sz w:val="16"/>
          <w:szCs w:val="16"/>
          <w:color w:val="auto"/>
        </w:rPr>
      </w:pPr>
    </w:p>
    <w:p>
      <w:pPr>
        <w:ind w:left="-40" w:right="380" w:firstLine="921"/>
        <w:spacing w:after="0" w:line="308" w:lineRule="auto"/>
        <w:tabs>
          <w:tab w:leader="none" w:pos="1143"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executed in one or more counterparts and, if executed in more than one counterpart, the executed</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counterparts shall each be deemed to be an original but all such counterparts shall together constitute one and the same instrument.</w:t>
      </w:r>
    </w:p>
    <w:p>
      <w:pPr>
        <w:spacing w:after="0" w:line="146" w:lineRule="exact"/>
        <w:rPr>
          <w:rFonts w:ascii="Arial" w:cs="Arial" w:eastAsia="Arial" w:hAnsi="Arial"/>
          <w:sz w:val="17"/>
          <w:szCs w:val="17"/>
          <w:color w:val="auto"/>
        </w:rPr>
      </w:pPr>
    </w:p>
    <w:p>
      <w:pPr>
        <w:ind w:left="-40" w:right="160" w:firstLine="921"/>
        <w:spacing w:after="0" w:line="277" w:lineRule="auto"/>
        <w:tabs>
          <w:tab w:leader="none" w:pos="1143"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80" w:top="274" w:right="279" w:bottom="1440" w:gutter="0" w:footer="0" w:header="0"/>
        </w:sectPr>
      </w:pPr>
    </w:p>
    <w:bookmarkStart w:id="216" w:name="page217"/>
    <w:bookmarkEnd w:id="21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agreement between the Company and the Underwriters, please indicate your acceptance in the space provided for that purpose below.</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REWALK ROBOTICS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274" w:right="4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ARCLAYS</w:t>
      </w:r>
      <w:r>
        <w:rPr>
          <w:rFonts w:ascii="Arial" w:cs="Arial" w:eastAsia="Arial" w:hAnsi="Arial"/>
          <w:sz w:val="18"/>
          <w:szCs w:val="18"/>
          <w:color w:val="auto"/>
        </w:rPr>
        <w:t xml:space="preserve"> C</w:t>
      </w:r>
      <w:r>
        <w:rPr>
          <w:rFonts w:ascii="Arial" w:cs="Arial" w:eastAsia="Arial" w:hAnsi="Arial"/>
          <w:sz w:val="15"/>
          <w:szCs w:val="15"/>
          <w:color w:val="auto"/>
        </w:rPr>
        <w:t>APITAL</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B</w:t>
      </w:r>
      <w:r>
        <w:rPr>
          <w:rFonts w:ascii="Arial" w:cs="Arial" w:eastAsia="Arial" w:hAnsi="Arial"/>
          <w:sz w:val="14"/>
          <w:szCs w:val="14"/>
          <w:color w:val="auto"/>
        </w:rPr>
        <w:t>ARCLAYS</w:t>
      </w:r>
      <w:r>
        <w:rPr>
          <w:rFonts w:ascii="Arial" w:cs="Arial" w:eastAsia="Arial" w:hAnsi="Arial"/>
          <w:sz w:val="17"/>
          <w:szCs w:val="17"/>
          <w:color w:val="auto"/>
        </w:rPr>
        <w:t xml:space="preserve"> C</w:t>
      </w:r>
      <w:r>
        <w:rPr>
          <w:rFonts w:ascii="Arial" w:cs="Arial" w:eastAsia="Arial" w:hAnsi="Arial"/>
          <w:sz w:val="14"/>
          <w:szCs w:val="14"/>
          <w:color w:val="auto"/>
        </w:rPr>
        <w:t>APITAL</w:t>
      </w:r>
      <w:r>
        <w:rPr>
          <w:rFonts w:ascii="Arial" w:cs="Arial" w:eastAsia="Arial" w:hAnsi="Arial"/>
          <w:sz w:val="17"/>
          <w:szCs w:val="17"/>
          <w:color w:val="auto"/>
        </w:rPr>
        <w:t xml:space="preserve"> I</w:t>
      </w:r>
      <w:r>
        <w:rPr>
          <w:rFonts w:ascii="Arial" w:cs="Arial" w:eastAsia="Arial" w:hAnsi="Arial"/>
          <w:sz w:val="14"/>
          <w:szCs w:val="14"/>
          <w:color w:val="auto"/>
        </w:rPr>
        <w:t>NC</w:t>
      </w:r>
      <w:r>
        <w:rPr>
          <w:rFonts w:ascii="Arial" w:cs="Arial" w:eastAsia="Arial" w:hAnsi="Arial"/>
          <w:sz w:val="17"/>
          <w:szCs w:val="17"/>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J</w:t>
      </w:r>
      <w:r>
        <w:rPr>
          <w:rFonts w:ascii="Arial" w:cs="Arial" w:eastAsia="Arial" w:hAnsi="Arial"/>
          <w:sz w:val="14"/>
          <w:szCs w:val="14"/>
          <w:color w:val="auto"/>
        </w:rPr>
        <w:t>EFFERIES</w:t>
      </w:r>
      <w:r>
        <w:rPr>
          <w:rFonts w:ascii="Arial" w:cs="Arial" w:eastAsia="Arial" w:hAnsi="Arial"/>
          <w:sz w:val="17"/>
          <w:szCs w:val="17"/>
          <w:color w:val="auto"/>
        </w:rPr>
        <w:t xml:space="preserv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Authorized Representative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274" w:right="1440"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Number of</w:t>
            </w: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Number</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color w:val="auto"/>
                <w:w w:val="93"/>
              </w:rPr>
              <w:t>Underwriters</w:t>
            </w:r>
          </w:p>
        </w:tc>
        <w:tc>
          <w:tcPr>
            <w:tcW w:w="89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Shares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8"/>
              </w:rPr>
              <w:t>of Option</w:t>
            </w:r>
          </w:p>
        </w:tc>
        <w:tc>
          <w:tcPr>
            <w:tcW w:w="0" w:type="dxa"/>
            <w:vAlign w:val="bottom"/>
          </w:tcPr>
          <w:p>
            <w:pPr>
              <w:spacing w:after="0"/>
              <w:rPr>
                <w:sz w:val="1"/>
                <w:szCs w:val="1"/>
                <w:color w:val="auto"/>
              </w:rPr>
            </w:pPr>
          </w:p>
        </w:tc>
      </w:tr>
      <w:tr>
        <w:trPr>
          <w:trHeight w:val="161"/>
        </w:trPr>
        <w:tc>
          <w:tcPr>
            <w:tcW w:w="760" w:type="dxa"/>
            <w:vAlign w:val="bottom"/>
            <w:tcBorders>
              <w:bottom w:val="single" w:sz="8" w:color="auto"/>
            </w:tcBorders>
            <w:vMerge w:val="continue"/>
          </w:tcPr>
          <w:p>
            <w:pPr>
              <w:spacing w:after="0"/>
              <w:rPr>
                <w:sz w:val="13"/>
                <w:szCs w:val="13"/>
                <w:color w:val="auto"/>
              </w:rPr>
            </w:pPr>
          </w:p>
        </w:tc>
        <w:tc>
          <w:tcPr>
            <w:tcW w:w="8940" w:type="dxa"/>
            <w:vAlign w:val="bottom"/>
          </w:tcPr>
          <w:p>
            <w:pPr>
              <w:spacing w:after="0"/>
              <w:rPr>
                <w:sz w:val="13"/>
                <w:szCs w:val="13"/>
                <w:color w:val="auto"/>
              </w:rPr>
            </w:pPr>
          </w:p>
        </w:tc>
        <w:tc>
          <w:tcPr>
            <w:tcW w:w="8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1"/>
              </w:rPr>
              <w:t>Firm Shares</w:t>
            </w:r>
          </w:p>
        </w:tc>
        <w:tc>
          <w:tcPr>
            <w:tcW w:w="12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Shares</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5715</wp:posOffset>
            </wp:positionV>
            <wp:extent cx="109791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97915" cy="260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9" w:name="page220"/>
    <w:bookmarkEnd w:id="219"/>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9"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come.]</w:t>
      </w:r>
    </w:p>
    <w:p>
      <w:pPr>
        <w:sectPr>
          <w:pgSz w:w="11900" w:h="16838" w:orient="portrait"/>
          <w:cols w:equalWidth="0" w:num="1">
            <w:col w:w="10219"/>
          </w:cols>
          <w:pgMar w:left="240" w:top="270" w:right="1440" w:bottom="1440" w:gutter="0" w:footer="0" w:header="0"/>
        </w:sectPr>
      </w:pPr>
    </w:p>
    <w:bookmarkStart w:id="220" w:name="page221"/>
    <w:bookmarkEnd w:id="22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29" w:lineRule="exact"/>
        <w:rPr>
          <w:sz w:val="20"/>
          <w:szCs w:val="20"/>
          <w:color w:val="auto"/>
        </w:rPr>
      </w:pPr>
    </w:p>
    <w:p>
      <w:pPr>
        <w:jc w:val="right"/>
        <w:ind w:right="2599"/>
        <w:spacing w:after="0"/>
        <w:rPr>
          <w:sz w:val="20"/>
          <w:szCs w:val="20"/>
          <w:color w:val="auto"/>
        </w:rPr>
      </w:pPr>
      <w:r>
        <w:rPr>
          <w:rFonts w:ascii="Arial" w:cs="Arial" w:eastAsia="Arial" w:hAnsi="Arial"/>
          <w:sz w:val="18"/>
          <w:szCs w:val="18"/>
          <w:color w:val="auto"/>
        </w:rPr>
        <w:t>ORALLY CONVEYED PRICING INFORMATION</w:t>
      </w:r>
    </w:p>
    <w:p>
      <w:pPr>
        <w:spacing w:after="0" w:line="225" w:lineRule="exact"/>
        <w:rPr>
          <w:sz w:val="20"/>
          <w:szCs w:val="20"/>
          <w:color w:val="auto"/>
        </w:rPr>
      </w:pPr>
    </w:p>
    <w:p>
      <w:pPr>
        <w:ind w:left="180" w:hanging="172"/>
        <w:spacing w:after="0"/>
        <w:tabs>
          <w:tab w:leader="none" w:pos="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offering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Number of shares offered</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21" w:name="page222"/>
    <w:bookmarkEnd w:id="221"/>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29"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ISSUER FREE WRITING PROSPECTUSES – ROAD SHOW MATERIALS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[List of certain “road show” materials]/[None.]</w:t>
      </w:r>
    </w:p>
    <w:p>
      <w:pPr>
        <w:sectPr>
          <w:pgSz w:w="11900" w:h="16838" w:orient="portrait"/>
          <w:cols w:equalWidth="0" w:num="1">
            <w:col w:w="10219"/>
          </w:cols>
          <w:pgMar w:left="240" w:top="270" w:right="1440" w:bottom="1440" w:gutter="0" w:footer="0" w:header="0"/>
        </w:sectPr>
      </w:pPr>
    </w:p>
    <w:bookmarkStart w:id="222" w:name="page223"/>
    <w:bookmarkEnd w:id="222"/>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V</w:t>
      </w:r>
    </w:p>
    <w:p>
      <w:pPr>
        <w:spacing w:after="0" w:line="229" w:lineRule="exact"/>
        <w:rPr>
          <w:sz w:val="20"/>
          <w:szCs w:val="20"/>
          <w:color w:val="auto"/>
        </w:rPr>
      </w:pPr>
    </w:p>
    <w:p>
      <w:pPr>
        <w:jc w:val="right"/>
        <w:ind w:right="2959"/>
        <w:spacing w:after="0"/>
        <w:rPr>
          <w:sz w:val="20"/>
          <w:szCs w:val="20"/>
          <w:color w:val="auto"/>
        </w:rPr>
      </w:pPr>
      <w:r>
        <w:rPr>
          <w:rFonts w:ascii="Arial" w:cs="Arial" w:eastAsia="Arial" w:hAnsi="Arial"/>
          <w:sz w:val="18"/>
          <w:szCs w:val="18"/>
          <w:color w:val="auto"/>
        </w:rPr>
        <w:t>ISSUER FREE WRITING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[List of all “Issuer Free Writing Prospectuses”]/[None.]</w:t>
      </w:r>
    </w:p>
    <w:p>
      <w:pPr>
        <w:sectPr>
          <w:pgSz w:w="11900" w:h="16838" w:orient="portrait"/>
          <w:cols w:equalWidth="0" w:num="1">
            <w:col w:w="10219"/>
          </w:cols>
          <w:pgMar w:left="240" w:top="270" w:right="1440" w:bottom="1440" w:gutter="0" w:footer="0" w:header="0"/>
        </w:sectPr>
      </w:pPr>
    </w:p>
    <w:bookmarkStart w:id="223" w:name="page224"/>
    <w:bookmarkEnd w:id="223"/>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VI</w:t>
      </w:r>
    </w:p>
    <w:p>
      <w:pPr>
        <w:spacing w:after="0" w:line="229"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WRITTEN TESTING-THE-WATERS COMMUNICATIONS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[List of all Written Testing-the-Waters Communications]</w:t>
      </w:r>
    </w:p>
    <w:p>
      <w:pPr>
        <w:sectPr>
          <w:pgSz w:w="11900" w:h="16838" w:orient="portrait"/>
          <w:cols w:equalWidth="0" w:num="1">
            <w:col w:w="10219"/>
          </w:cols>
          <w:pgMar w:left="240" w:top="270" w:right="1440"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LOCK-UP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ARCLAYS</w:t>
      </w:r>
      <w:r>
        <w:rPr>
          <w:rFonts w:ascii="Arial" w:cs="Arial" w:eastAsia="Arial" w:hAnsi="Arial"/>
          <w:sz w:val="18"/>
          <w:szCs w:val="18"/>
          <w:color w:val="auto"/>
        </w:rPr>
        <w:t xml:space="preserve"> C</w:t>
      </w:r>
      <w:r>
        <w:rPr>
          <w:rFonts w:ascii="Arial" w:cs="Arial" w:eastAsia="Arial" w:hAnsi="Arial"/>
          <w:sz w:val="15"/>
          <w:szCs w:val="15"/>
          <w:color w:val="auto"/>
        </w:rPr>
        <w:t>APITAL</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Underwriters named in Schedule I of the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understands that you and certain other firms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propose to enter into an Underwriting Agreement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providing for the purchase by the Underwriters of ordinary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par value NIS 0.01 per share (the “</w:t>
      </w:r>
      <w:r>
        <w:rPr>
          <w:rFonts w:ascii="Arial" w:cs="Arial" w:eastAsia="Arial" w:hAnsi="Arial"/>
          <w:sz w:val="16"/>
          <w:szCs w:val="16"/>
          <w:b w:val="1"/>
          <w:bCs w:val="1"/>
          <w:i w:val="1"/>
          <w:iCs w:val="1"/>
          <w:color w:val="auto"/>
        </w:rPr>
        <w:t>Ordinary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ReWalk Robotics Ltd., a company organized under the laws of the State of Israel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that the Underwriters propose to reoffer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Shares to the public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w:t>
      </w:r>
    </w:p>
    <w:p>
      <w:pPr>
        <w:spacing w:after="0" w:line="21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Barclays Capital Inc. and Jefferies LLC, on behalf of the Underwriters, the undersigned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cause to be filed a registration statement, including any amendments thereto, with respect to the registration of any Ordinary Shares or securities convertible into or exercisable or exchangeable for Ordinary Shares or any other securities of the Company, or (4) publicly disclose the intention to do any of the foregoing for a period commencing on the date hereof and ending on the 180th day after the date of the final prospectus relating to the Offering (such 180-day period,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420"/>
          </w:cols>
          <w:pgMar w:left="240" w:top="270" w:right="239" w:bottom="1440" w:gutter="0" w:footer="0" w:header="0"/>
        </w:sectPr>
      </w:pPr>
    </w:p>
    <w:bookmarkStart w:id="225" w:name="page226"/>
    <w:bookmarkEnd w:id="2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paragraph shall not apply to:</w:t>
      </w:r>
    </w:p>
    <w:p>
      <w:pPr>
        <w:spacing w:after="0" w:line="225" w:lineRule="exact"/>
        <w:rPr>
          <w:sz w:val="20"/>
          <w:szCs w:val="20"/>
          <w:color w:val="auto"/>
        </w:rPr>
      </w:pPr>
    </w:p>
    <w:p>
      <w:pPr>
        <w:ind w:left="700" w:hanging="236"/>
        <w:spacing w:after="0"/>
        <w:tabs>
          <w:tab w:leader="none" w:pos="7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transactions relating to Ordinary Shares or other securities acquired in the open market after the completion of the Offering,</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transfers by will or upon intestate succession,</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transfers as bona fide gifts,</w:t>
      </w:r>
    </w:p>
    <w:p>
      <w:pPr>
        <w:spacing w:after="0" w:line="225"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transfers to any immediate family member of the undersigned or any trust for the direct or indirect benefit of the undersigned or the immediate family of the undersigned (for purposes of this Lock-Up Letter Agreement, “immediate family” shall mean any relationship, by blood, marriage or adoption, not more remote than first cousin),</w:t>
      </w:r>
    </w:p>
    <w:p>
      <w:pPr>
        <w:spacing w:after="0" w:line="181" w:lineRule="exact"/>
        <w:rPr>
          <w:rFonts w:ascii="Arial" w:cs="Arial" w:eastAsia="Arial" w:hAnsi="Arial"/>
          <w:sz w:val="18"/>
          <w:szCs w:val="18"/>
          <w:color w:val="auto"/>
        </w:rPr>
      </w:pPr>
    </w:p>
    <w:p>
      <w:pPr>
        <w:ind w:right="560" w:firstLine="464"/>
        <w:spacing w:after="0" w:line="342" w:lineRule="auto"/>
        <w:tabs>
          <w:tab w:leader="none" w:pos="70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sales or other dispositions to affiliates of the undersigned, including its partners (if a partnership), members (if a limited liability company), shareholders, stockholders, or any investment fund or other entity controlled by or under common control or management with the undersigned,</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it shall be a condition to any transfer pursuant to clauses (b) through (e) that (i) the transferee/donee agrees to be bound by the terms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Lock-Up Letter Agreement (including, without limitation, the restrictions set forth in the preceding sentence) to the same extent as if the transferee/donee were a party hereto, (ii) each party (donor, donee, transferor or transferee) shall not be required by law (including without limitation the disclosure requirements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and the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to make, and shall agree to not voluntarily make, any filing or public announcement of the transfer or disposition prior to the expiration of the 180-day period referred to above (except this clause (ii) shall not apply to transfer by will or upon interstate succession), and (iii) the undersigned notifies Barclays Capital Inc. and Jefferies LLC at least two business days prior to the proposed transfer or disposition,</w:t>
      </w:r>
    </w:p>
    <w:p>
      <w:pPr>
        <w:spacing w:after="0" w:line="178" w:lineRule="exact"/>
        <w:rPr>
          <w:sz w:val="20"/>
          <w:szCs w:val="20"/>
          <w:color w:val="auto"/>
        </w:rPr>
      </w:pPr>
    </w:p>
    <w:p>
      <w:pPr>
        <w:ind w:left="680" w:hanging="216"/>
        <w:spacing w:after="0"/>
        <w:tabs>
          <w:tab w:leader="none" w:pos="6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transfers made pursuant to the Underwriting Agreement, if any,</w:t>
      </w:r>
    </w:p>
    <w:p>
      <w:pPr>
        <w:spacing w:after="0" w:line="225" w:lineRule="exact"/>
        <w:rPr>
          <w:rFonts w:ascii="Arial" w:cs="Arial" w:eastAsia="Arial" w:hAnsi="Arial"/>
          <w:sz w:val="18"/>
          <w:szCs w:val="18"/>
          <w:color w:val="auto"/>
        </w:rPr>
      </w:pPr>
    </w:p>
    <w:p>
      <w:pPr>
        <w:ind w:firstLine="464"/>
        <w:spacing w:after="0" w:line="297" w:lineRule="auto"/>
        <w:tabs>
          <w:tab w:leader="none" w:pos="71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the undersigned is an individual, dispositions solely in connection with the “cashless” exercise of options (the term “cashless” exercise being intended to include the sale of a portion of the option shares or previously owned shares to the Company or in open market transactions to cover payment of the exercise price) for the purpose of exercising such options solely in the case of termination of employment or board service following death, disability or other than for cause (including sales in respect of tax liabilities arising from such exercise and sale) if such options would otherwise expire, provided that the restrictions of this Lock-Up Letter Agreement shall apply to any Ordinary Shares issued in connection with such exercise,</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300"/>
          </w:cols>
          <w:pgMar w:left="240" w:top="274" w:right="359" w:bottom="1440" w:gutter="0" w:footer="0" w:header="0"/>
        </w:sectPr>
      </w:pPr>
    </w:p>
    <w:bookmarkStart w:id="226" w:name="page227"/>
    <w:bookmarkEnd w:id="226"/>
    <w:p>
      <w:pPr>
        <w:jc w:val="both"/>
        <w:ind w:right="140" w:firstLine="464"/>
        <w:spacing w:after="0" w:line="259" w:lineRule="auto"/>
        <w:tabs>
          <w:tab w:leader="none" w:pos="711"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closing of the Offering, transfers pursuant to a bona fide third-party tender offer, merger, consolidation or other similar transaction made to all holders of the Company’s share capital involving a change of control of the Company, provided that in the event that such tender offer, merger, consolidation or other such transaction is not completed, the securities of the Company held by the undersigned shall remain subject to the provisions of this Lock-Up Letter Agreement,</w:t>
      </w:r>
    </w:p>
    <w:p>
      <w:pPr>
        <w:spacing w:after="0" w:line="186" w:lineRule="exact"/>
        <w:rPr>
          <w:rFonts w:ascii="Arial" w:cs="Arial" w:eastAsia="Arial" w:hAnsi="Arial"/>
          <w:sz w:val="18"/>
          <w:szCs w:val="18"/>
          <w:color w:val="auto"/>
        </w:rPr>
      </w:pPr>
    </w:p>
    <w:p>
      <w:pPr>
        <w:ind w:right="60" w:firstLine="464"/>
        <w:spacing w:after="0" w:line="277" w:lineRule="auto"/>
        <w:tabs>
          <w:tab w:leader="none" w:pos="67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exercise of warrants or the exercise of stock options granted pursuant to the Company’s stock option/incentive plans or otherwise outstanding on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that the restrictions shall apply to Ordinary Shares issued upon such exercise or conversion,</w:t>
      </w:r>
    </w:p>
    <w:p>
      <w:pPr>
        <w:spacing w:after="0" w:line="170" w:lineRule="exact"/>
        <w:rPr>
          <w:rFonts w:ascii="Arial" w:cs="Arial" w:eastAsia="Arial" w:hAnsi="Arial"/>
          <w:sz w:val="18"/>
          <w:szCs w:val="18"/>
          <w:color w:val="auto"/>
        </w:rPr>
      </w:pPr>
    </w:p>
    <w:p>
      <w:pPr>
        <w:ind w:firstLine="464"/>
        <w:spacing w:after="0" w:line="273" w:lineRule="auto"/>
        <w:tabs>
          <w:tab w:leader="none" w:pos="67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establishment of any contract, instruction or plan that satisfies all of the requirements of Rule 10b5-1 (a “</w:t>
      </w:r>
      <w:r>
        <w:rPr>
          <w:rFonts w:ascii="Arial" w:cs="Arial" w:eastAsia="Arial" w:hAnsi="Arial"/>
          <w:sz w:val="17"/>
          <w:szCs w:val="17"/>
          <w:b w:val="1"/>
          <w:bCs w:val="1"/>
          <w:i w:val="1"/>
          <w:iCs w:val="1"/>
          <w:color w:val="auto"/>
        </w:rPr>
        <w:t>Rule 10b5-1 Plan</w:t>
      </w:r>
      <w:r>
        <w:rPr>
          <w:rFonts w:ascii="Arial" w:cs="Arial" w:eastAsia="Arial" w:hAnsi="Arial"/>
          <w:sz w:val="17"/>
          <w:szCs w:val="17"/>
          <w:color w:val="auto"/>
        </w:rPr>
        <w:t xml:space="preserve">”) under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sales of Ordinary Shares or securities convertible into, or exchangeable or exercisable for, Ordinary Shares, shall be made pursuant to a Rule 10b5-1 Plan prior to the expiration of the Lock-Up Period (as the same may be extended pursuant to the provisions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any announcement or filing under the Exchange Act regarding the establishment or existence of such Rule 10b5-1 Plan shall be required or</w:t>
      </w:r>
      <w:r>
        <w:rPr>
          <w:rFonts w:ascii="Arial" w:cs="Arial" w:eastAsia="Arial" w:hAnsi="Arial"/>
          <w:sz w:val="17"/>
          <w:szCs w:val="17"/>
          <w:i w:val="1"/>
          <w:iCs w:val="1"/>
          <w:color w:val="auto"/>
        </w:rPr>
        <w:t xml:space="preserve"> </w:t>
      </w:r>
      <w:r>
        <w:rPr>
          <w:rFonts w:ascii="Arial" w:cs="Arial" w:eastAsia="Arial" w:hAnsi="Arial"/>
          <w:sz w:val="17"/>
          <w:szCs w:val="17"/>
          <w:color w:val="auto"/>
        </w:rPr>
        <w:t>made voluntarily by the undersigned, the Company or any other person prior to the expiration of the Lock-Up Period, such announcement shall include a statement that sales under the Rule 10b5-1 Plan will not occur until after the expiration of the Lock-Up Period, and</w:t>
      </w:r>
    </w:p>
    <w:p>
      <w:pPr>
        <w:spacing w:after="0" w:line="178" w:lineRule="exact"/>
        <w:rPr>
          <w:rFonts w:ascii="Arial" w:cs="Arial" w:eastAsia="Arial" w:hAnsi="Arial"/>
          <w:sz w:val="17"/>
          <w:szCs w:val="17"/>
          <w:color w:val="auto"/>
        </w:rPr>
      </w:pPr>
    </w:p>
    <w:p>
      <w:pPr>
        <w:ind w:right="80" w:firstLine="464"/>
        <w:spacing w:after="0" w:line="312" w:lineRule="auto"/>
        <w:tabs>
          <w:tab w:leader="none" w:pos="71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demands or requests for, exercise of any right with respect to, or any action taken in preparation of, the registration by the Company under the Act of the undersigned’s Ordinary Shares, provided that no transfer of the undersigned’s Ordinary Shares registered pursuant to the exercise of any such right and no registration statement shall be filed under the Act with respect to any of the undersigned’s Ordinary Shares during the Lock-Up Period.</w:t>
      </w:r>
    </w:p>
    <w:p>
      <w:pPr>
        <w:spacing w:after="0" w:line="14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the undersigned is an officer or director of the Company, (i) the undersigned agrees that the foregoing provisions shall be equally applicable to any issuer-directed Shares, as referred to in FINRA Rule 5131(d)(2)(A) that the undersigned may purchase in the Offering pursuant to an allocation of Shares that is directed in writing by the Company, (ii) each of Barclays Capital Inc. and Jefferies LLC agree that, at least three business days before the effective date of any release or waiver of the foregoing restrictions in connection with a transfer of Ordinary Shares, Barclays Capital Inc. and Jefferies LLC will notify the Company of the impending release or waiver, and (iii) the Company has agreed or will agree in the Underwriting Agreement to announce the impending release or waiver by issuing a press release through a major news service (as referred to in FINRA Rule 5131(d)(2)(B)) at least two business days before the effective date of the release or waiver. Any release or waiver granted by Barclays Capital Inc.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420"/>
          </w:cols>
          <w:pgMar w:left="240" w:top="274" w:right="239" w:bottom="1440" w:gutter="0" w:footer="0" w:header="0"/>
        </w:sectPr>
      </w:pPr>
    </w:p>
    <w:bookmarkStart w:id="227" w:name="page228"/>
    <w:bookmarkEnd w:id="22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Jefferies LLC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that are applicable to the transferor, to the extent and for the duration that such terms remain in effect at the time of the transfer.</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It is understood that, if the Company notifies the Underwriters that it does not intend to proceed with the Offering, if the Underwriting Agreement does not become effective, or if the Underwriting Agreement (other than the provisions thereof which survive termination) shall terminate or be terminated prior to payment for and delivery of the Shares, the undersigned will be released from its obligations under this Lock-Up Letter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understands that the Company and the Underwriters will proceed with the Offering in reliance on this Lock-Up Letter Agreement.</w:t>
      </w:r>
    </w:p>
    <w:p>
      <w:pPr>
        <w:spacing w:after="0" w:line="24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This Lock-Up Letter Agreement shall automatically terminate upon the earliest to occur, if any, of (1) the termination of the Underwriting Agreement before the sale of any Shares to the Underwriters or (2) November 30, 2014, in the event that the Underwriting Agreement has not been executed by that date.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380"/>
          </w:cols>
          <w:pgMar w:left="240" w:top="274" w:right="279" w:bottom="1440" w:gutter="0" w:footer="0" w:header="0"/>
        </w:sectPr>
      </w:pPr>
    </w:p>
    <w:bookmarkStart w:id="228" w:name="page229"/>
    <w:bookmarkEnd w:id="228"/>
    <w:p>
      <w:pPr>
        <w:ind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represents and warrants that the undersigned has full power and authority to enter into this Lock-Up Letter Agreement and that, upon request, the undersigned will execute any additional documents necessary in connection with the enforcement hereof. Any obligations of the undersigned shall be binding upon the heirs, personal representatives, successors and assigns of the undersigned.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060"/>
          </w:cols>
          <w:pgMar w:left="240" w:top="274" w:right="599" w:bottom="1440" w:gutter="0" w:footer="0" w:header="0"/>
        </w:sectPr>
      </w:pPr>
    </w:p>
    <w:bookmarkStart w:id="229" w:name="page230"/>
    <w:bookmarkEnd w:id="22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right"/>
        <w:ind w:right="3339"/>
        <w:spacing w:after="0"/>
        <w:rPr>
          <w:sz w:val="20"/>
          <w:szCs w:val="20"/>
          <w:color w:val="auto"/>
        </w:rPr>
      </w:pPr>
      <w:r>
        <w:rPr>
          <w:rFonts w:ascii="Arial" w:cs="Arial" w:eastAsia="Arial" w:hAnsi="Arial"/>
          <w:sz w:val="18"/>
          <w:szCs w:val="18"/>
          <w:b w:val="1"/>
          <w:bCs w:val="1"/>
          <w:u w:val="single" w:color="auto"/>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 come.]</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0219"/>
          </w:cols>
          <w:pgMar w:left="240" w:top="270" w:right="1440" w:bottom="1440" w:gutter="0" w:footer="0" w:header="0"/>
        </w:sectPr>
      </w:pPr>
    </w:p>
    <w:bookmarkStart w:id="230" w:name="page231"/>
    <w:bookmarkEnd w:id="23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25" w:lineRule="exact"/>
        <w:rPr>
          <w:sz w:val="20"/>
          <w:szCs w:val="20"/>
          <w:color w:val="auto"/>
        </w:rPr>
      </w:pPr>
    </w:p>
    <w:p>
      <w:pPr>
        <w:jc w:val="right"/>
        <w:ind w:right="2319"/>
        <w:spacing w:after="0"/>
        <w:rPr>
          <w:sz w:val="20"/>
          <w:szCs w:val="20"/>
          <w:color w:val="auto"/>
        </w:rPr>
      </w:pPr>
      <w:r>
        <w:rPr>
          <w:rFonts w:ascii="Arial" w:cs="Arial" w:eastAsia="Arial" w:hAnsi="Arial"/>
          <w:sz w:val="18"/>
          <w:szCs w:val="18"/>
          <w:b w:val="1"/>
          <w:bCs w:val="1"/>
          <w:u w:val="single" w:color="auto"/>
          <w:color w:val="auto"/>
        </w:rPr>
        <w:t>FORM OF OPINION OF U.S. COMPANY’S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come.]</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C-1-1</w:t>
      </w:r>
    </w:p>
    <w:p>
      <w:pPr>
        <w:sectPr>
          <w:pgSz w:w="11900" w:h="16838" w:orient="portrait"/>
          <w:cols w:equalWidth="0" w:num="1">
            <w:col w:w="10219"/>
          </w:cols>
          <w:pgMar w:left="240" w:top="270" w:right="1440" w:bottom="1440" w:gutter="0" w:footer="0" w:header="0"/>
        </w:sectPr>
      </w:pPr>
    </w:p>
    <w:bookmarkStart w:id="231" w:name="page232"/>
    <w:bookmarkEnd w:id="231"/>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C-2</w:t>
      </w:r>
    </w:p>
    <w:p>
      <w:pPr>
        <w:spacing w:after="0" w:line="225"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u w:val="single" w:color="auto"/>
          <w:color w:val="auto"/>
        </w:rPr>
        <w:t>FORM OF OPINION OF ISRAELI COMPANY’S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come.]</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C-2-1</w:t>
      </w:r>
    </w:p>
    <w:p>
      <w:pPr>
        <w:sectPr>
          <w:pgSz w:w="11900" w:h="16838" w:orient="portrait"/>
          <w:cols w:equalWidth="0" w:num="1">
            <w:col w:w="10219"/>
          </w:cols>
          <w:pgMar w:left="240" w:top="270" w:right="1440" w:bottom="1440" w:gutter="0" w:footer="0" w:header="0"/>
        </w:sectPr>
      </w:pPr>
    </w:p>
    <w:bookmarkStart w:id="232" w:name="page233"/>
    <w:bookmarkEnd w:id="23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right"/>
        <w:ind w:right="1019"/>
        <w:spacing w:after="0"/>
        <w:rPr>
          <w:sz w:val="20"/>
          <w:szCs w:val="20"/>
          <w:color w:val="auto"/>
        </w:rPr>
      </w:pPr>
      <w:r>
        <w:rPr>
          <w:rFonts w:ascii="Arial" w:cs="Arial" w:eastAsia="Arial" w:hAnsi="Arial"/>
          <w:sz w:val="18"/>
          <w:szCs w:val="18"/>
          <w:b w:val="1"/>
          <w:bCs w:val="1"/>
          <w:u w:val="single" w:color="auto"/>
          <w:color w:val="auto"/>
        </w:rPr>
        <w:t>FORM OF OPINION OF INTELLECTUAL PROPERTY LAW COMPANY’S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come.]</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D-1</w:t>
      </w:r>
    </w:p>
    <w:p>
      <w:pPr>
        <w:sectPr>
          <w:pgSz w:w="11900" w:h="16838" w:orient="portrait"/>
          <w:cols w:equalWidth="0" w:num="1">
            <w:col w:w="10219"/>
          </w:cols>
          <w:pgMar w:left="240" w:top="270" w:right="1440"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t>Exhibit 5.1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Goldfarb Seligman &amp; Co.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 Yigal Alon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Aviv 6789141, Israel</w:t>
      </w:r>
    </w:p>
    <w:p>
      <w:pPr>
        <w:spacing w:after="0" w:line="16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August 26, 2014</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ReWalk Robotics Ltd.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Kochav Yokneam Building, Floor 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 Box 161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Yokneam Ilit 20692, Israel</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acted as Israeli counsel to ReWalk Robotics Ltd., an Israeli company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underwritten initial public offering (the “Offering”) by the Company on a Registration Statement on Form F-1 (File No. 333-197344)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by the Company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relating to the issuance and sale of 3,350,000 Ordinary Shares, par value NIS 0.01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of the Company (the “</w:t>
      </w:r>
      <w:r>
        <w:rPr>
          <w:rFonts w:ascii="Arial" w:cs="Arial" w:eastAsia="Arial" w:hAnsi="Arial"/>
          <w:sz w:val="18"/>
          <w:szCs w:val="18"/>
          <w:b w:val="1"/>
          <w:bCs w:val="1"/>
          <w:color w:val="auto"/>
        </w:rPr>
        <w:t>Offering Shares</w:t>
      </w:r>
      <w:r>
        <w:rPr>
          <w:rFonts w:ascii="Arial" w:cs="Arial" w:eastAsia="Arial" w:hAnsi="Arial"/>
          <w:sz w:val="18"/>
          <w:szCs w:val="18"/>
          <w:color w:val="auto"/>
        </w:rPr>
        <w:t>”), plus up to 502,500 Ordinary Shares subject to an over-allotment option granted by the Company to the underwriters of the Offering (the “</w:t>
      </w:r>
      <w:r>
        <w:rPr>
          <w:rFonts w:ascii="Arial" w:cs="Arial" w:eastAsia="Arial" w:hAnsi="Arial"/>
          <w:sz w:val="18"/>
          <w:szCs w:val="18"/>
          <w:b w:val="1"/>
          <w:bCs w:val="1"/>
          <w:color w:val="auto"/>
        </w:rPr>
        <w:t>Additional Shares</w:t>
      </w:r>
      <w:r>
        <w:rPr>
          <w:rFonts w:ascii="Arial" w:cs="Arial" w:eastAsia="Arial" w:hAnsi="Arial"/>
          <w:sz w:val="18"/>
          <w:szCs w:val="18"/>
          <w:color w:val="auto"/>
        </w:rPr>
        <w:t>,” and together with the Offering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4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This opinion is being furnished in connection with the requirements of Item 8(a) of Form F-1 and Items 601(b)(5) and (b)(23) of Regulation S-K under the Securities Act, and no opinion is expressed herein as to any matter pertaining to the contents of the Registration Statement or the prospectus that is a part of the Registration Statement, other than as expressly stated herein with respect to the issuance of the Shares.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(i) the Registration Statement;</w:t>
      </w:r>
    </w:p>
    <w:p>
      <w:pPr>
        <w:spacing w:after="0" w:line="38" w:lineRule="exact"/>
        <w:rPr>
          <w:sz w:val="20"/>
          <w:szCs w:val="20"/>
          <w:color w:val="auto"/>
        </w:rPr>
      </w:pPr>
    </w:p>
    <w:p>
      <w:pPr>
        <w:ind w:right="100" w:firstLine="8"/>
        <w:spacing w:after="0" w:line="287" w:lineRule="auto"/>
        <w:tabs>
          <w:tab w:leader="none" w:pos="25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copies of the Articles of Association of the Company currently in effect; (iii) a draft of the amended articles of association of the Company, to be in effect as of prior to the effectiveness of the Registration Statement; (iv) resolutions adopted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and by the shareholders of the Company relating to the Registration Statement and the issuance of the Shares; and (v) such other documents and questions of law which we consider necessary or advisable for the purposes of rendering this opinion letter. As to any facts material to the opinions expressed herein which were not independently established or verified, we have relied upon oral or written statements and representations of officers and other representatives of the Company. In our examination, we have assumed without independent investigation the genuineness of all signatures, the legal capacity and competence of all natural persons, the authenticity of all documents submitted to us as originals, and the conformity to original documents of all documents submitted to us as copies. We have also assumed that the underwriting agreement relating to the Offering (the “Underwriting Agreement”) will be duly authorized, executed and delivered by all parties thereto (other than the Company).</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we are of the opinion that, when the Registration Statement has been declared effective by the Commission pursuant to the</w:t>
      </w:r>
    </w:p>
    <w:p>
      <w:pPr>
        <w:sectPr>
          <w:pgSz w:w="11900" w:h="16838" w:orient="portrait"/>
          <w:cols w:equalWidth="0" w:num="1">
            <w:col w:w="11420"/>
          </w:cols>
          <w:pgMar w:left="240" w:top="131" w:right="239" w:bottom="1440" w:gutter="0" w:footer="0" w:header="0"/>
        </w:sectPr>
      </w:pPr>
    </w:p>
    <w:bookmarkStart w:id="234" w:name="page235"/>
    <w:bookmarkEnd w:id="234"/>
    <w:p>
      <w:pPr>
        <w:jc w:val="both"/>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Act and the Board of Directors or a duly appointed committee thereof determines the price per share of the Shares and the final number thereof to be issued pursuant to the Underwriting Agreement, (i) the issuance of the Shares will have been duly authorized by all necessary corporate action by the Company and (ii) the Shares, when issued and paid for in accordance with the Underwriting Agreement, will be validly issued, fully paid and non-assessable.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members of the Israel Bar and we express no opinion as to any matter relating to the laws of any jurisdiction other than the laws of Israel.</w:t>
      </w:r>
    </w:p>
    <w:p>
      <w:pPr>
        <w:spacing w:after="0" w:line="19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hereby consent to the filing of this opinion as an exhibit to the Registration Statement, and we further consent to the use of our name under the captions “Legal Matters” and “Enforceability of Civil Liabilities” in the Registration Statement and the prospectus that forms a part thereof. This consent is not to be construed as an admission that we are a party whose consent is required to be filed as part of the Registration Statement under the provisions of the Securities Act.</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Goldfarb Seligman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8427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Goldfarb Seligman &amp; Co.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80"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May 16, 2014 (except for Note 1e, Note 2u, Note 7c, Note 9 and Note 14, as to which the date is August 26, 2014) in the Registration Statement (Form F-1) and the related Prospectus of ReWalk Robotics Ltd. dated August 26, 2014.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20"/>
                <w:szCs w:val="20"/>
                <w:color w:val="auto"/>
              </w:rPr>
            </w:pPr>
            <w:r>
              <w:rPr>
                <w:rFonts w:ascii="Arial" w:cs="Arial" w:eastAsia="Arial" w:hAnsi="Arial"/>
                <w:sz w:val="18"/>
                <w:szCs w:val="18"/>
                <w:color w:val="auto"/>
              </w:rPr>
              <w:t>August 26, 2014</w:t>
            </w:r>
          </w:p>
        </w:tc>
        <w:tc>
          <w:tcPr>
            <w:tcW w:w="2660" w:type="dxa"/>
            <w:vAlign w:val="bottom"/>
            <w:gridSpan w:val="2"/>
          </w:tcPr>
          <w:p>
            <w:pPr>
              <w:spacing w:after="0"/>
              <w:rPr>
                <w:sz w:val="20"/>
                <w:szCs w:val="20"/>
                <w:color w:val="auto"/>
              </w:rPr>
            </w:pPr>
            <w:r>
              <w:rPr>
                <w:rFonts w:ascii="Arial" w:cs="Arial" w:eastAsia="Arial" w:hAnsi="Arial"/>
                <w:sz w:val="18"/>
                <w:szCs w:val="18"/>
                <w:color w:val="auto"/>
                <w:w w:val="99"/>
              </w:rPr>
              <w:t>/s/ Kost Forer Gabbay &amp; Kasierer</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19"/>
                <w:szCs w:val="19"/>
                <w:color w:val="auto"/>
              </w:rPr>
            </w:pPr>
          </w:p>
        </w:tc>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Kost Forer Gabbay &amp; Kasierer</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vMerge w:val="restart"/>
          </w:tcPr>
          <w:p>
            <w:pPr>
              <w:spacing w:after="0"/>
              <w:rPr>
                <w:sz w:val="20"/>
                <w:szCs w:val="20"/>
                <w:color w:val="auto"/>
              </w:rPr>
            </w:pPr>
            <w:r>
              <w:rPr>
                <w:rFonts w:ascii="Arial" w:cs="Arial" w:eastAsia="Arial" w:hAnsi="Arial"/>
                <w:sz w:val="18"/>
                <w:szCs w:val="18"/>
                <w:color w:val="auto"/>
              </w:rPr>
              <w:t>Tel-Aviv, Israel</w:t>
            </w:r>
          </w:p>
        </w:tc>
        <w:tc>
          <w:tcPr>
            <w:tcW w:w="2660" w:type="dxa"/>
            <w:vAlign w:val="bottom"/>
            <w:gridSpan w:val="2"/>
          </w:tcPr>
          <w:p>
            <w:pPr>
              <w:spacing w:after="0"/>
              <w:rPr>
                <w:sz w:val="20"/>
                <w:szCs w:val="20"/>
                <w:color w:val="auto"/>
              </w:rPr>
            </w:pPr>
            <w:r>
              <w:rPr>
                <w:rFonts w:ascii="Arial" w:cs="Arial" w:eastAsia="Arial" w:hAnsi="Arial"/>
                <w:sz w:val="18"/>
                <w:szCs w:val="18"/>
                <w:color w:val="auto"/>
                <w:w w:val="93"/>
              </w:rPr>
              <w:t>A Member of Ernst &amp; Young Global</w:t>
            </w:r>
          </w:p>
        </w:tc>
        <w:tc>
          <w:tcPr>
            <w:tcW w:w="0" w:type="dxa"/>
            <w:vAlign w:val="bottom"/>
          </w:tcPr>
          <w:p>
            <w:pPr>
              <w:spacing w:after="0"/>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1)"/>
      <w:numFmt w:val="decimal"/>
      <w:start w:val="1"/>
    </w:lvl>
  </w:abstractNum>
  <w:abstractNum w:abstractNumId="1">
    <w:nsid w:val="7D5E18F8"/>
    <w:multiLevelType w:val="hybridMultilevel"/>
    <w:lvl w:ilvl="0">
      <w:lvlJc w:val="left"/>
      <w:lvlText w:val="(%1)"/>
      <w:numFmt w:val="decimal"/>
      <w:start w:val="1"/>
    </w:lvl>
  </w:abstractNum>
  <w:abstractNum w:abstractNumId="2">
    <w:nsid w:val="5F3534A4"/>
    <w:multiLevelType w:val="hybridMultilevel"/>
    <w:lvl w:ilvl="0">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1)"/>
      <w:numFmt w:val="decimal"/>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1)"/>
      <w:numFmt w:val="lowerLetter"/>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1)"/>
      <w:numFmt w:val="decimal"/>
      <w:start w:val="1"/>
    </w:lvl>
  </w:abstractNum>
  <w:abstractNum w:abstractNumId="25">
    <w:nsid w:val="23D86AAC"/>
    <w:multiLevelType w:val="hybridMultilevel"/>
    <w:lvl w:ilvl="0">
      <w:lvlJc w:val="left"/>
      <w:lvlText w:val="•"/>
      <w:numFmt w:val="bullet"/>
      <w:start w:val="1"/>
    </w:lvl>
  </w:abstractNum>
  <w:abstractNum w:abstractNumId="26">
    <w:nsid w:val="45E6D486"/>
    <w:multiLevelType w:val="hybridMultilevel"/>
    <w:lvl w:ilvl="0">
      <w:lvlJc w:val="left"/>
      <w:lvlText w:val="•"/>
      <w:numFmt w:val="bullet"/>
      <w:start w:val="1"/>
    </w:lvl>
  </w:abstractNum>
  <w:abstractNum w:abstractNumId="27">
    <w:nsid w:val="5C10FE21"/>
    <w:multiLevelType w:val="hybridMultilevel"/>
    <w:lvl w:ilvl="0">
      <w:lvlJc w:val="left"/>
      <w:lvlText w:val="•"/>
      <w:numFmt w:val="bullet"/>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1)"/>
      <w:numFmt w:val="decimal"/>
      <w:start w:val="1"/>
    </w:lvl>
  </w:abstractNum>
  <w:abstractNum w:abstractNumId="30">
    <w:nsid w:val="4BD8591A"/>
    <w:multiLevelType w:val="hybridMultilevel"/>
    <w:lvl w:ilvl="0">
      <w:lvlJc w:val="left"/>
      <w:lvlText w:val="(%1)"/>
      <w:numFmt w:val="decimal"/>
      <w:start w:val="1"/>
    </w:lvl>
  </w:abstractNum>
  <w:abstractNum w:abstractNumId="31">
    <w:nsid w:val="78DF6A55"/>
    <w:multiLevelType w:val="hybridMultilevel"/>
    <w:lvl w:ilvl="0">
      <w:lvlJc w:val="left"/>
      <w:lvlText w:val="•"/>
      <w:numFmt w:val="bullet"/>
      <w:start w:val="1"/>
    </w:lvl>
  </w:abstractNum>
  <w:abstractNum w:abstractNumId="32">
    <w:nsid w:val="39B7AAA2"/>
    <w:multiLevelType w:val="hybridMultilevel"/>
    <w:lvl w:ilvl="0">
      <w:lvlJc w:val="left"/>
      <w:lvlText w:val="•"/>
      <w:numFmt w:val="bullet"/>
      <w:start w:val="1"/>
    </w:lvl>
    <w:lvl w:ilvl="1">
      <w:lvlJc w:val="left"/>
      <w:lvlText w:val="•"/>
      <w:numFmt w:val="bullet"/>
      <w:start w:val="1"/>
    </w:lvl>
  </w:abstractNum>
  <w:abstractNum w:abstractNumId="33">
    <w:nsid w:val="2B0D8DBE"/>
    <w:multiLevelType w:val="hybridMultilevel"/>
    <w:lvl w:ilvl="0">
      <w:lvlJc w:val="left"/>
      <w:lvlText w:val="•"/>
      <w:numFmt w:val="bullet"/>
      <w:start w:val="1"/>
    </w:lvl>
    <w:lvl w:ilvl="1">
      <w:lvlJc w:val="left"/>
      <w:lvlText w:val="•"/>
      <w:numFmt w:val="bullet"/>
      <w:start w:val="1"/>
    </w:lvl>
  </w:abstractNum>
  <w:abstractNum w:abstractNumId="34">
    <w:nsid w:val="6C80EC70"/>
    <w:multiLevelType w:val="hybridMultilevel"/>
    <w:lvl w:ilvl="0">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
      <w:numFmt w:val="bullet"/>
      <w:start w:val="1"/>
    </w:lvl>
  </w:abstractNum>
  <w:abstractNum w:abstractNumId="37">
    <w:nsid w:val="2C27173B"/>
    <w:multiLevelType w:val="hybridMultilevel"/>
    <w:lvl w:ilvl="0">
      <w:lvlJc w:val="left"/>
      <w:lvlText w:val="•"/>
      <w:numFmt w:val="bullet"/>
      <w:start w:val="1"/>
    </w:lvl>
  </w:abstractNum>
  <w:abstractNum w:abstractNumId="38">
    <w:nsid w:val="4C9B0904"/>
    <w:multiLevelType w:val="hybridMultilevel"/>
    <w:lvl w:ilvl="0">
      <w:lvlJc w:val="left"/>
      <w:lvlText w:val="•"/>
      <w:numFmt w:val="bullet"/>
      <w:start w:val="1"/>
    </w:lvl>
  </w:abstractNum>
  <w:abstractNum w:abstractNumId="39">
    <w:nsid w:val="6AA7B75C"/>
    <w:multiLevelType w:val="hybridMultilevel"/>
    <w:lvl w:ilvl="0">
      <w:lvlJc w:val="left"/>
      <w:lvlText w:val="•"/>
      <w:numFmt w:val="bullet"/>
      <w:start w:val="1"/>
    </w:lvl>
  </w:abstractNum>
  <w:abstractNum w:abstractNumId="40">
    <w:nsid w:val="1DF029D3"/>
    <w:multiLevelType w:val="hybridMultilevel"/>
    <w:lvl w:ilvl="0">
      <w:lvlJc w:val="left"/>
      <w:lvlText w:val="•"/>
      <w:numFmt w:val="bullet"/>
      <w:start w:val="1"/>
    </w:lvl>
  </w:abstractNum>
  <w:abstractNum w:abstractNumId="41">
    <w:nsid w:val="5675FF36"/>
    <w:multiLevelType w:val="hybridMultilevel"/>
    <w:lvl w:ilvl="0">
      <w:lvlJc w:val="left"/>
      <w:lvlText w:val="•"/>
      <w:numFmt w:val="bullet"/>
      <w:start w:val="1"/>
    </w:lvl>
  </w:abstractNum>
  <w:abstractNum w:abstractNumId="42">
    <w:nsid w:val="3DD15094"/>
    <w:multiLevelType w:val="hybridMultilevel"/>
    <w:lvl w:ilvl="0">
      <w:lvlJc w:val="left"/>
      <w:lvlText w:val="(%1)"/>
      <w:numFmt w:val="decimal"/>
      <w:start w:val="1"/>
    </w:lvl>
  </w:abstractNum>
  <w:abstractNum w:abstractNumId="43">
    <w:nsid w:val="3DB012B3"/>
    <w:multiLevelType w:val="hybridMultilevel"/>
    <w:lvl w:ilvl="0">
      <w:lvlJc w:val="left"/>
      <w:lvlText w:val="•"/>
      <w:numFmt w:val="bullet"/>
      <w:start w:val="1"/>
    </w:lvl>
  </w:abstractNum>
  <w:abstractNum w:abstractNumId="44">
    <w:nsid w:val="2708C9AF"/>
    <w:multiLevelType w:val="hybridMultilevel"/>
    <w:lvl w:ilvl="0">
      <w:lvlJc w:val="left"/>
      <w:lvlText w:val="•"/>
      <w:numFmt w:val="bullet"/>
      <w:start w:val="1"/>
    </w:lvl>
  </w:abstractNum>
  <w:abstractNum w:abstractNumId="45">
    <w:nsid w:val="5B25ACE2"/>
    <w:multiLevelType w:val="hybridMultilevel"/>
    <w:lvl w:ilvl="0">
      <w:lvlJc w:val="left"/>
      <w:lvlText w:val="•"/>
      <w:numFmt w:val="bullet"/>
      <w:start w:val="1"/>
    </w:lvl>
  </w:abstractNum>
  <w:abstractNum w:abstractNumId="46">
    <w:nsid w:val="175DFCF0"/>
    <w:multiLevelType w:val="hybridMultilevel"/>
    <w:lvl w:ilvl="0">
      <w:lvlJc w:val="left"/>
      <w:lvlText w:val="•"/>
      <w:numFmt w:val="bullet"/>
      <w:start w:val="1"/>
    </w:lvl>
  </w:abstractNum>
  <w:abstractNum w:abstractNumId="47">
    <w:nsid w:val="4F97E3E4"/>
    <w:multiLevelType w:val="hybridMultilevel"/>
    <w:lvl w:ilvl="0">
      <w:lvlJc w:val="left"/>
      <w:lvlText w:val="•"/>
      <w:numFmt w:val="bullet"/>
      <w:start w:val="1"/>
    </w:lvl>
  </w:abstractNum>
  <w:abstractNum w:abstractNumId="48">
    <w:nsid w:val="53B0A9E"/>
    <w:multiLevelType w:val="hybridMultilevel"/>
    <w:lvl w:ilvl="0">
      <w:lvlJc w:val="left"/>
      <w:lvlText w:val="•"/>
      <w:numFmt w:val="bullet"/>
      <w:start w:val="1"/>
    </w:lvl>
  </w:abstractNum>
  <w:abstractNum w:abstractNumId="49">
    <w:nsid w:val="34FD6B4F"/>
    <w:multiLevelType w:val="hybridMultilevel"/>
    <w:lvl w:ilvl="0">
      <w:lvlJc w:val="left"/>
      <w:lvlText w:val="•"/>
      <w:numFmt w:val="bullet"/>
      <w:start w:val="1"/>
    </w:lvl>
  </w:abstractNum>
  <w:abstractNum w:abstractNumId="50">
    <w:nsid w:val="5915FF32"/>
    <w:multiLevelType w:val="hybridMultilevel"/>
    <w:lvl w:ilvl="0">
      <w:lvlJc w:val="left"/>
      <w:lvlText w:val="•"/>
      <w:numFmt w:val="bullet"/>
      <w:start w:val="1"/>
    </w:lvl>
  </w:abstractNum>
  <w:abstractNum w:abstractNumId="51">
    <w:nsid w:val="56438D15"/>
    <w:multiLevelType w:val="hybridMultilevel"/>
    <w:lvl w:ilvl="0">
      <w:lvlJc w:val="left"/>
      <w:lvlText w:val="•"/>
      <w:numFmt w:val="bullet"/>
      <w:start w:val="1"/>
    </w:lvl>
  </w:abstractNum>
  <w:abstractNum w:abstractNumId="52">
    <w:nsid w:val="519E3149"/>
    <w:multiLevelType w:val="hybridMultilevel"/>
    <w:lvl w:ilvl="0">
      <w:lvlJc w:val="left"/>
      <w:lvlText w:val="(%1)"/>
      <w:numFmt w:val="lowerLetter"/>
      <w:start w:val="1"/>
    </w:lvl>
  </w:abstractNum>
  <w:abstractNum w:abstractNumId="53">
    <w:nsid w:val="2C6E4AFD"/>
    <w:multiLevelType w:val="hybridMultilevel"/>
    <w:lvl w:ilvl="0">
      <w:lvlJc w:val="left"/>
      <w:lvlText w:val="•"/>
      <w:numFmt w:val="bullet"/>
      <w:start w:val="1"/>
    </w:lvl>
  </w:abstractNum>
  <w:abstractNum w:abstractNumId="54">
    <w:nsid w:val="17A1B582"/>
    <w:multiLevelType w:val="hybridMultilevel"/>
    <w:lvl w:ilvl="0">
      <w:lvlJc w:val="left"/>
      <w:lvlText w:val="•"/>
      <w:numFmt w:val="bullet"/>
      <w:start w:val="1"/>
    </w:lvl>
  </w:abstractNum>
  <w:abstractNum w:abstractNumId="55">
    <w:nsid w:val="4DF72E4E"/>
    <w:multiLevelType w:val="hybridMultilevel"/>
    <w:lvl w:ilvl="0">
      <w:lvlJc w:val="left"/>
      <w:lvlText w:val="•"/>
      <w:numFmt w:val="bullet"/>
      <w:start w:val="1"/>
    </w:lvl>
  </w:abstractNum>
  <w:abstractNum w:abstractNumId="56">
    <w:nsid w:val="5046B5A9"/>
    <w:multiLevelType w:val="hybridMultilevel"/>
    <w:lvl w:ilvl="0">
      <w:lvlJc w:val="left"/>
      <w:lvlText w:val="•"/>
      <w:numFmt w:val="bullet"/>
      <w:start w:val="1"/>
    </w:lvl>
  </w:abstractNum>
  <w:abstractNum w:abstractNumId="57">
    <w:nsid w:val="5D888A08"/>
    <w:multiLevelType w:val="hybridMultilevel"/>
    <w:lvl w:ilvl="0">
      <w:lvlJc w:val="left"/>
      <w:lvlText w:val="(%1)"/>
      <w:numFmt w:val="lowerRoman"/>
      <w:start w:val="2"/>
    </w:lvl>
  </w:abstractNum>
  <w:abstractNum w:abstractNumId="58">
    <w:nsid w:val="2A082C70"/>
    <w:multiLevelType w:val="hybridMultilevel"/>
    <w:lvl w:ilvl="0">
      <w:lvlJc w:val="left"/>
      <w:lvlText w:val="•"/>
      <w:numFmt w:val="bullet"/>
      <w:start w:val="1"/>
    </w:lvl>
  </w:abstractNum>
  <w:abstractNum w:abstractNumId="59">
    <w:nsid w:val="5EC6AFD4"/>
    <w:multiLevelType w:val="hybridMultilevel"/>
    <w:lvl w:ilvl="0">
      <w:lvlJc w:val="left"/>
      <w:lvlText w:val="*"/>
      <w:numFmt w:val="bullet"/>
      <w:start w:val="1"/>
    </w:lvl>
  </w:abstractNum>
  <w:abstractNum w:abstractNumId="60">
    <w:nsid w:val="19E21BB2"/>
    <w:multiLevelType w:val="hybridMultilevel"/>
    <w:lvl w:ilvl="0">
      <w:lvlJc w:val="left"/>
      <w:lvlText w:val="(%1)"/>
      <w:numFmt w:val="decimal"/>
      <w:start w:val="1"/>
    </w:lvl>
  </w:abstractNum>
  <w:abstractNum w:abstractNumId="61">
    <w:nsid w:val="75E0858A"/>
    <w:multiLevelType w:val="hybridMultilevel"/>
    <w:lvl w:ilvl="0">
      <w:lvlJc w:val="left"/>
      <w:lvlText w:val="(%1)"/>
      <w:numFmt w:val="decimal"/>
      <w:start w:val="2"/>
    </w:lvl>
  </w:abstractNum>
  <w:abstractNum w:abstractNumId="62">
    <w:nsid w:val="57A61A29"/>
    <w:multiLevelType w:val="hybridMultilevel"/>
    <w:lvl w:ilvl="0">
      <w:lvlJc w:val="left"/>
      <w:lvlText w:val="(%1)"/>
      <w:numFmt w:val="decimal"/>
      <w:start w:val="10"/>
    </w:lvl>
  </w:abstractNum>
  <w:abstractNum w:abstractNumId="63">
    <w:nsid w:val="5399C654"/>
    <w:multiLevelType w:val="hybridMultilevel"/>
    <w:lvl w:ilvl="0">
      <w:lvlJc w:val="left"/>
      <w:lvlText w:val="•"/>
      <w:numFmt w:val="bullet"/>
      <w:start w:val="1"/>
    </w:lvl>
  </w:abstractNum>
  <w:abstractNum w:abstractNumId="64">
    <w:nsid w:val="20EE1348"/>
    <w:multiLevelType w:val="hybridMultilevel"/>
    <w:lvl w:ilvl="0">
      <w:lvlJc w:val="left"/>
      <w:lvlText w:val="•"/>
      <w:numFmt w:val="bullet"/>
      <w:start w:val="1"/>
    </w:lvl>
  </w:abstractNum>
  <w:abstractNum w:abstractNumId="65">
    <w:nsid w:val="4427069A"/>
    <w:multiLevelType w:val="hybridMultilevel"/>
    <w:lvl w:ilvl="0">
      <w:lvlJc w:val="left"/>
      <w:lvlText w:val="•"/>
      <w:numFmt w:val="bullet"/>
      <w:start w:val="1"/>
    </w:lvl>
  </w:abstractNum>
  <w:abstractNum w:abstractNumId="66">
    <w:nsid w:val="B37E80A"/>
    <w:multiLevelType w:val="hybridMultilevel"/>
    <w:lvl w:ilvl="0">
      <w:lvlJc w:val="left"/>
      <w:lvlText w:val="•"/>
      <w:numFmt w:val="bullet"/>
      <w:start w:val="1"/>
    </w:lvl>
  </w:abstractNum>
  <w:abstractNum w:abstractNumId="67">
    <w:nsid w:val="2157F6BC"/>
    <w:multiLevelType w:val="hybridMultilevel"/>
    <w:lvl w:ilvl="0">
      <w:lvlJc w:val="left"/>
      <w:lvlText w:val="•"/>
      <w:numFmt w:val="bullet"/>
      <w:start w:val="1"/>
    </w:lvl>
  </w:abstractNum>
  <w:abstractNum w:abstractNumId="68">
    <w:nsid w:val="704E1DD5"/>
    <w:multiLevelType w:val="hybridMultilevel"/>
    <w:lvl w:ilvl="0">
      <w:lvlJc w:val="left"/>
      <w:lvlText w:val="•"/>
      <w:numFmt w:val="bullet"/>
      <w:start w:val="1"/>
    </w:lvl>
  </w:abstractNum>
  <w:abstractNum w:abstractNumId="69">
    <w:nsid w:val="57D2F10E"/>
    <w:multiLevelType w:val="hybridMultilevel"/>
    <w:lvl w:ilvl="0">
      <w:lvlJc w:val="left"/>
      <w:lvlText w:val="•"/>
      <w:numFmt w:val="bullet"/>
      <w:start w:val="1"/>
    </w:lvl>
  </w:abstractNum>
  <w:abstractNum w:abstractNumId="70">
    <w:nsid w:val="BFFAE18"/>
    <w:multiLevelType w:val="hybridMultilevel"/>
    <w:lvl w:ilvl="0">
      <w:lvlJc w:val="left"/>
      <w:lvlText w:val="•"/>
      <w:numFmt w:val="bullet"/>
      <w:start w:val="1"/>
    </w:lvl>
  </w:abstractNum>
  <w:abstractNum w:abstractNumId="71">
    <w:nsid w:val="E3E47A8"/>
    <w:multiLevelType w:val="hybridMultilevel"/>
    <w:lvl w:ilvl="0">
      <w:lvlJc w:val="left"/>
      <w:lvlText w:val="•"/>
      <w:numFmt w:val="bullet"/>
      <w:start w:val="1"/>
    </w:lvl>
  </w:abstractNum>
  <w:abstractNum w:abstractNumId="72">
    <w:nsid w:val="2E48F044"/>
    <w:multiLevelType w:val="hybridMultilevel"/>
    <w:lvl w:ilvl="0">
      <w:lvlJc w:val="left"/>
      <w:lvlText w:val="•"/>
      <w:numFmt w:val="bullet"/>
      <w:start w:val="1"/>
    </w:lvl>
  </w:abstractNum>
  <w:abstractNum w:abstractNumId="73">
    <w:nsid w:val="49D0FEAC"/>
    <w:multiLevelType w:val="hybridMultilevel"/>
    <w:lvl w:ilvl="0">
      <w:lvlJc w:val="left"/>
      <w:lvlText w:val="•"/>
      <w:numFmt w:val="bullet"/>
      <w:start w:val="1"/>
    </w:lvl>
  </w:abstractNum>
  <w:abstractNum w:abstractNumId="74">
    <w:nsid w:val="4BEE5A5B"/>
    <w:multiLevelType w:val="hybridMultilevel"/>
    <w:lvl w:ilvl="0">
      <w:lvlJc w:val="left"/>
      <w:lvlText w:val="•"/>
      <w:numFmt w:val="bullet"/>
      <w:start w:val="1"/>
    </w:lvl>
  </w:abstractNum>
  <w:abstractNum w:abstractNumId="75">
    <w:nsid w:val="5551B9F3"/>
    <w:multiLevelType w:val="hybridMultilevel"/>
    <w:lvl w:ilvl="0">
      <w:lvlJc w:val="left"/>
      <w:lvlText w:val="•"/>
      <w:numFmt w:val="bullet"/>
      <w:start w:val="1"/>
    </w:lvl>
  </w:abstractNum>
  <w:abstractNum w:abstractNumId="76">
    <w:nsid w:val="24F6AB8E"/>
    <w:multiLevelType w:val="hybridMultilevel"/>
    <w:lvl w:ilvl="0">
      <w:lvlJc w:val="left"/>
      <w:lvlText w:val="•"/>
      <w:numFmt w:val="bullet"/>
      <w:start w:val="1"/>
    </w:lvl>
  </w:abstractNum>
  <w:abstractNum w:abstractNumId="77">
    <w:nsid w:val="634C574C"/>
    <w:multiLevelType w:val="hybridMultilevel"/>
    <w:lvl w:ilvl="0">
      <w:lvlJc w:val="left"/>
      <w:lvlText w:val="•"/>
      <w:numFmt w:val="bullet"/>
      <w:start w:val="1"/>
    </w:lvl>
  </w:abstractNum>
  <w:abstractNum w:abstractNumId="78">
    <w:nsid w:val="24E99DD7"/>
    <w:multiLevelType w:val="hybridMultilevel"/>
    <w:lvl w:ilvl="0">
      <w:lvlJc w:val="left"/>
      <w:lvlText w:val="•"/>
      <w:numFmt w:val="bullet"/>
      <w:start w:val="1"/>
    </w:lvl>
  </w:abstractNum>
  <w:abstractNum w:abstractNumId="79">
    <w:nsid w:val="2A31B62D"/>
    <w:multiLevelType w:val="hybridMultilevel"/>
    <w:lvl w:ilvl="0">
      <w:lvlJc w:val="left"/>
      <w:lvlText w:val="•"/>
      <w:numFmt w:val="bullet"/>
      <w:start w:val="1"/>
    </w:lvl>
  </w:abstractNum>
  <w:abstractNum w:abstractNumId="80">
    <w:nsid w:val="1849C29B"/>
    <w:multiLevelType w:val="hybridMultilevel"/>
    <w:lvl w:ilvl="0">
      <w:lvlJc w:val="left"/>
      <w:lvlText w:val="%1."/>
      <w:numFmt w:val="lowerLetter"/>
      <w:start w:val="1"/>
    </w:lvl>
  </w:abstractNum>
  <w:abstractNum w:abstractNumId="81">
    <w:nsid w:val="7DFF9D09"/>
    <w:multiLevelType w:val="hybridMultilevel"/>
    <w:lvl w:ilvl="0">
      <w:lvlJc w:val="left"/>
      <w:lvlText w:val="%1."/>
      <w:numFmt w:val="lowerLetter"/>
      <w:start w:val="1"/>
    </w:lvl>
  </w:abstractNum>
  <w:abstractNum w:abstractNumId="82">
    <w:nsid w:val="754342"/>
    <w:multiLevelType w:val="hybridMultilevel"/>
    <w:lvl w:ilvl="0">
      <w:lvlJc w:val="left"/>
      <w:lvlText w:val="%1."/>
      <w:numFmt w:val="lowerLetter"/>
      <w:start w:val="2"/>
    </w:lvl>
  </w:abstractNum>
  <w:abstractNum w:abstractNumId="83">
    <w:nsid w:val="69E7F3E5"/>
    <w:multiLevelType w:val="hybridMultilevel"/>
    <w:lvl w:ilvl="0">
      <w:lvlJc w:val="left"/>
      <w:lvlText w:val="%1."/>
      <w:numFmt w:val="lowerLetter"/>
      <w:start w:val="3"/>
    </w:lvl>
  </w:abstractNum>
  <w:abstractNum w:abstractNumId="84">
    <w:nsid w:val="2A6DE806"/>
    <w:multiLevelType w:val="hybridMultilevel"/>
    <w:lvl w:ilvl="0">
      <w:lvlJc w:val="left"/>
      <w:lvlText w:val="%1."/>
      <w:numFmt w:val="lowerLetter"/>
      <w:start w:val="4"/>
    </w:lvl>
  </w:abstractNum>
  <w:abstractNum w:abstractNumId="85">
    <w:nsid w:val="1816F8C4"/>
    <w:multiLevelType w:val="hybridMultilevel"/>
    <w:lvl w:ilvl="0">
      <w:lvlJc w:val="left"/>
      <w:lvlText w:val="%1."/>
      <w:numFmt w:val="lowerLetter"/>
      <w:start w:val="5"/>
    </w:lvl>
  </w:abstractNum>
  <w:abstractNum w:abstractNumId="86">
    <w:nsid w:val="37DF2233"/>
    <w:multiLevelType w:val="hybridMultilevel"/>
    <w:lvl w:ilvl="0">
      <w:lvlJc w:val="left"/>
      <w:lvlText w:val="%1."/>
      <w:numFmt w:val="lowerLetter"/>
      <w:start w:val="6"/>
    </w:lvl>
  </w:abstractNum>
  <w:abstractNum w:abstractNumId="87">
    <w:nsid w:val="7AB49DAF"/>
    <w:multiLevelType w:val="hybridMultilevel"/>
    <w:lvl w:ilvl="0">
      <w:lvlJc w:val="left"/>
      <w:lvlText w:val="%1."/>
      <w:numFmt w:val="lowerLetter"/>
      <w:start w:val="7"/>
    </w:lvl>
  </w:abstractNum>
  <w:abstractNum w:abstractNumId="88">
    <w:nsid w:val="759F82CD"/>
    <w:multiLevelType w:val="hybridMultilevel"/>
    <w:lvl w:ilvl="0">
      <w:lvlJc w:val="left"/>
      <w:lvlText w:val="%1."/>
      <w:numFmt w:val="lowerLetter"/>
      <w:start w:val="8"/>
    </w:lvl>
  </w:abstractNum>
  <w:abstractNum w:abstractNumId="89">
    <w:nsid w:val="61E74EA3"/>
    <w:multiLevelType w:val="hybridMultilevel"/>
    <w:lvl w:ilvl="0">
      <w:lvlJc w:val="left"/>
      <w:lvlText w:val="%1."/>
      <w:numFmt w:val="lowerRoman"/>
      <w:start w:val="1"/>
    </w:lvl>
  </w:abstractNum>
  <w:abstractNum w:abstractNumId="90">
    <w:nsid w:val="597B4D84"/>
    <w:multiLevelType w:val="hybridMultilevel"/>
    <w:lvl w:ilvl="0">
      <w:lvlJc w:val="left"/>
      <w:lvlText w:val="%1."/>
      <w:numFmt w:val="lowerLetter"/>
      <w:start w:val="10"/>
    </w:lvl>
  </w:abstractNum>
  <w:abstractNum w:abstractNumId="91">
    <w:nsid w:val="F819E7F"/>
    <w:multiLevelType w:val="hybridMultilevel"/>
    <w:lvl w:ilvl="0">
      <w:lvlJc w:val="left"/>
      <w:lvlText w:val="%1."/>
      <w:numFmt w:val="lowerLetter"/>
      <w:start w:val="11"/>
    </w:lvl>
  </w:abstractNum>
  <w:abstractNum w:abstractNumId="92">
    <w:nsid w:val="57C7D42D"/>
    <w:multiLevelType w:val="hybridMultilevel"/>
    <w:lvl w:ilvl="0">
      <w:lvlJc w:val="left"/>
      <w:lvlText w:val="%1."/>
      <w:numFmt w:val="lowerLetter"/>
      <w:start w:val="12"/>
    </w:lvl>
  </w:abstractNum>
  <w:abstractNum w:abstractNumId="93">
    <w:nsid w:val="312167AD"/>
    <w:multiLevelType w:val="hybridMultilevel"/>
    <w:lvl w:ilvl="0">
      <w:lvlJc w:val="left"/>
      <w:lvlText w:val="%1."/>
      <w:numFmt w:val="lowerLetter"/>
      <w:start w:val="13"/>
    </w:lvl>
  </w:abstractNum>
  <w:abstractNum w:abstractNumId="94">
    <w:nsid w:val="631B64D4"/>
    <w:multiLevelType w:val="hybridMultilevel"/>
    <w:lvl w:ilvl="0">
      <w:lvlJc w:val="left"/>
      <w:lvlText w:val="%1."/>
      <w:numFmt w:val="lowerLetter"/>
      <w:start w:val="14"/>
    </w:lvl>
  </w:abstractNum>
  <w:abstractNum w:abstractNumId="95">
    <w:nsid w:val="78B5E776"/>
    <w:multiLevelType w:val="hybridMultilevel"/>
    <w:lvl w:ilvl="0">
      <w:lvlJc w:val="left"/>
      <w:lvlText w:val="%1."/>
      <w:numFmt w:val="lowerLetter"/>
      <w:start w:val="15"/>
    </w:lvl>
  </w:abstractNum>
  <w:abstractNum w:abstractNumId="96">
    <w:nsid w:val="75486E47"/>
    <w:multiLevelType w:val="hybridMultilevel"/>
    <w:lvl w:ilvl="0">
      <w:lvlJc w:val="left"/>
      <w:lvlText w:val="%1."/>
      <w:numFmt w:val="lowerLetter"/>
      <w:start w:val="16"/>
    </w:lvl>
  </w:abstractNum>
  <w:abstractNum w:abstractNumId="97">
    <w:nsid w:val="6E534CDE"/>
    <w:multiLevelType w:val="hybridMultilevel"/>
    <w:lvl w:ilvl="0">
      <w:lvlJc w:val="left"/>
      <w:lvlText w:val="%1."/>
      <w:numFmt w:val="lowerLetter"/>
      <w:start w:val="17"/>
    </w:lvl>
  </w:abstractNum>
  <w:abstractNum w:abstractNumId="98">
    <w:nsid w:val="1A0DDE32"/>
    <w:multiLevelType w:val="hybridMultilevel"/>
    <w:lvl w:ilvl="0">
      <w:lvlJc w:val="left"/>
      <w:lvlText w:val="%1."/>
      <w:numFmt w:val="lowerLetter"/>
      <w:start w:val="18"/>
    </w:lvl>
  </w:abstractNum>
  <w:abstractNum w:abstractNumId="99">
    <w:nsid w:val="65968C1C"/>
    <w:multiLevelType w:val="hybridMultilevel"/>
    <w:lvl w:ilvl="0">
      <w:lvlJc w:val="left"/>
      <w:lvlText w:val="%1."/>
      <w:numFmt w:val="lowerLetter"/>
      <w:start w:val="19"/>
    </w:lvl>
  </w:abstractNum>
  <w:abstractNum w:abstractNumId="100">
    <w:nsid w:val="46263DEC"/>
    <w:multiLevelType w:val="hybridMultilevel"/>
    <w:lvl w:ilvl="0">
      <w:lvlJc w:val="left"/>
      <w:lvlText w:val="%1."/>
      <w:numFmt w:val="lowerLetter"/>
      <w:start w:val="20"/>
    </w:lvl>
  </w:abstractNum>
  <w:abstractNum w:abstractNumId="101">
    <w:nsid w:val="260D8C4A"/>
    <w:multiLevelType w:val="hybridMultilevel"/>
    <w:lvl w:ilvl="0">
      <w:lvlJc w:val="left"/>
      <w:lvlText w:val="%1."/>
      <w:numFmt w:val="lowerLetter"/>
      <w:start w:val="21"/>
    </w:lvl>
  </w:abstractNum>
  <w:abstractNum w:abstractNumId="102">
    <w:nsid w:val="73D4D3C4"/>
    <w:multiLevelType w:val="hybridMultilevel"/>
    <w:lvl w:ilvl="0">
      <w:lvlJc w:val="left"/>
      <w:lvlText w:val="%1."/>
      <w:numFmt w:val="lowerRoman"/>
      <w:start w:val="5"/>
    </w:lvl>
  </w:abstractNum>
  <w:abstractNum w:abstractNumId="103">
    <w:nsid w:val="746F2E30"/>
    <w:multiLevelType w:val="hybridMultilevel"/>
    <w:lvl w:ilvl="0">
      <w:lvlJc w:val="left"/>
      <w:lvlText w:val="%1."/>
      <w:numFmt w:val="lowerLetter"/>
      <w:start w:val="23"/>
    </w:lvl>
  </w:abstractNum>
  <w:abstractNum w:abstractNumId="104">
    <w:nsid w:val="6FDE8AF6"/>
    <w:multiLevelType w:val="hybridMultilevel"/>
    <w:lvl w:ilvl="0">
      <w:lvlJc w:val="left"/>
      <w:lvlText w:val="%1."/>
      <w:numFmt w:val="lowerLetter"/>
      <w:start w:val="1"/>
    </w:lvl>
  </w:abstractNum>
  <w:abstractNum w:abstractNumId="105">
    <w:nsid w:val="3FC32E20"/>
    <w:multiLevelType w:val="hybridMultilevel"/>
    <w:lvl w:ilvl="0">
      <w:lvlJc w:val="left"/>
      <w:lvlText w:val="%1."/>
      <w:numFmt w:val="lowerLetter"/>
      <w:start w:val="2"/>
    </w:lvl>
  </w:abstractNum>
  <w:abstractNum w:abstractNumId="106">
    <w:nsid w:val="49C0E823"/>
    <w:multiLevelType w:val="hybridMultilevel"/>
    <w:lvl w:ilvl="0">
      <w:lvlJc w:val="left"/>
      <w:lvlText w:val="(%1)"/>
      <w:numFmt w:val="lowerLetter"/>
      <w:start w:val="1"/>
    </w:lvl>
  </w:abstractNum>
  <w:abstractNum w:abstractNumId="107">
    <w:nsid w:val="14D53685"/>
    <w:multiLevelType w:val="hybridMultilevel"/>
    <w:lvl w:ilvl="0">
      <w:lvlJc w:val="left"/>
      <w:lvlText w:val="(%1)"/>
      <w:numFmt w:val="lowerLetter"/>
      <w:start w:val="3"/>
    </w:lvl>
  </w:abstractNum>
  <w:abstractNum w:abstractNumId="108">
    <w:nsid w:val="230F856C"/>
    <w:multiLevelType w:val="hybridMultilevel"/>
    <w:lvl w:ilvl="0">
      <w:lvlJc w:val="left"/>
      <w:lvlText w:val="%1."/>
      <w:numFmt w:val="lowerLetter"/>
      <w:start w:val="3"/>
    </w:lvl>
  </w:abstractNum>
  <w:abstractNum w:abstractNumId="109">
    <w:nsid w:val="6EAA85FB"/>
    <w:multiLevelType w:val="hybridMultilevel"/>
    <w:lvl w:ilvl="0">
      <w:lvlJc w:val="left"/>
      <w:lvlText w:val="%1."/>
      <w:numFmt w:val="lowerLetter"/>
      <w:start w:val="1"/>
    </w:lvl>
  </w:abstractNum>
  <w:abstractNum w:abstractNumId="110">
    <w:nsid w:val="3F06ECB2"/>
    <w:multiLevelType w:val="hybridMultilevel"/>
    <w:lvl w:ilvl="0">
      <w:lvlJc w:val="left"/>
      <w:lvlText w:val="%1."/>
      <w:numFmt w:val="lowerLetter"/>
      <w:start w:val="3"/>
    </w:lvl>
  </w:abstractNum>
  <w:abstractNum w:abstractNumId="111">
    <w:nsid w:val="3B594807"/>
    <w:multiLevelType w:val="hybridMultilevel"/>
    <w:lvl w:ilvl="0">
      <w:lvlJc w:val="left"/>
      <w:lvlText w:val="%1."/>
      <w:numFmt w:val="decimal"/>
      <w:start w:val="1"/>
    </w:lvl>
  </w:abstractNum>
  <w:abstractNum w:abstractNumId="112">
    <w:nsid w:val="6CAA2304"/>
    <w:multiLevelType w:val="hybridMultilevel"/>
    <w:lvl w:ilvl="0">
      <w:lvlJc w:val="left"/>
      <w:lvlText w:val="%1"/>
      <w:numFmt w:val="lowerLetter"/>
      <w:start w:val="1"/>
    </w:lvl>
    <w:lvl w:ilvl="1">
      <w:lvlJc w:val="left"/>
      <w:lvlText w:val="%2."/>
      <w:numFmt w:val="decimal"/>
      <w:start w:val="3"/>
    </w:lvl>
  </w:abstractNum>
  <w:abstractNum w:abstractNumId="113">
    <w:nsid w:val="3F7C2FF4"/>
    <w:multiLevelType w:val="hybridMultilevel"/>
    <w:lvl w:ilvl="0">
      <w:lvlJc w:val="left"/>
      <w:lvlText w:val="%1."/>
      <w:numFmt w:val="lowerLetter"/>
      <w:start w:val="4"/>
    </w:lvl>
    <w:lvl w:ilvl="1">
      <w:lvlJc w:val="left"/>
      <w:lvlText w:val="%2"/>
      <w:numFmt w:val="decimal"/>
      <w:start w:val="1"/>
    </w:lvl>
  </w:abstractNum>
  <w:abstractNum w:abstractNumId="114">
    <w:nsid w:val="25413BEC"/>
    <w:multiLevelType w:val="hybridMultilevel"/>
    <w:lvl w:ilvl="0">
      <w:lvlJc w:val="left"/>
      <w:lvlText w:val="%1."/>
      <w:numFmt w:val="lowerLetter"/>
      <w:start w:val="5"/>
    </w:lvl>
  </w:abstractNum>
  <w:abstractNum w:abstractNumId="115">
    <w:nsid w:val="17180B0B"/>
    <w:multiLevelType w:val="hybridMultilevel"/>
    <w:lvl w:ilvl="0">
      <w:lvlJc w:val="left"/>
      <w:lvlText w:val="%1."/>
      <w:numFmt w:val="lowerLetter"/>
      <w:start w:val="6"/>
    </w:lvl>
  </w:abstractNum>
  <w:abstractNum w:abstractNumId="116">
    <w:nsid w:val="579328B9"/>
    <w:multiLevelType w:val="hybridMultilevel"/>
    <w:lvl w:ilvl="0">
      <w:lvlJc w:val="left"/>
      <w:lvlText w:val="%1."/>
      <w:numFmt w:val="lowerLetter"/>
      <w:start w:val="7"/>
    </w:lvl>
  </w:abstractNum>
  <w:abstractNum w:abstractNumId="117">
    <w:nsid w:val="5D205E20"/>
    <w:multiLevelType w:val="hybridMultilevel"/>
    <w:lvl w:ilvl="0">
      <w:lvlJc w:val="left"/>
      <w:lvlText w:val="%1."/>
      <w:numFmt w:val="lowerLetter"/>
      <w:start w:val="8"/>
    </w:lvl>
  </w:abstractNum>
  <w:abstractNum w:abstractNumId="118">
    <w:nsid w:val="11CCA8BA"/>
    <w:multiLevelType w:val="hybridMultilevel"/>
    <w:lvl w:ilvl="0">
      <w:lvlJc w:val="left"/>
      <w:lvlText w:val="%1."/>
      <w:numFmt w:val="lowerLetter"/>
      <w:start w:val="1"/>
    </w:lvl>
  </w:abstractNum>
  <w:abstractNum w:abstractNumId="119">
    <w:nsid w:val="4D32AB86"/>
    <w:multiLevelType w:val="hybridMultilevel"/>
    <w:lvl w:ilvl="0">
      <w:lvlJc w:val="left"/>
      <w:lvlText w:val="%1"/>
      <w:numFmt w:val="lowerLetter"/>
      <w:start w:val="1"/>
    </w:lvl>
    <w:lvl w:ilvl="1">
      <w:lvlJc w:val="left"/>
      <w:lvlText w:val="(%2)"/>
      <w:numFmt w:val="lowerRoman"/>
      <w:start w:val="3"/>
    </w:lvl>
  </w:abstractNum>
  <w:abstractNum w:abstractNumId="120">
    <w:nsid w:val="3F07ACC3"/>
    <w:multiLevelType w:val="hybridMultilevel"/>
    <w:lvl w:ilvl="0">
      <w:lvlJc w:val="left"/>
      <w:lvlText w:val="%1."/>
      <w:numFmt w:val="lowerLetter"/>
      <w:start w:val="2"/>
    </w:lvl>
    <w:lvl w:ilvl="1">
      <w:lvlJc w:val="left"/>
      <w:lvlText w:val="%2"/>
      <w:numFmt w:val="lowerRoman"/>
      <w:start w:val="1"/>
    </w:lvl>
  </w:abstractNum>
  <w:abstractNum w:abstractNumId="121">
    <w:nsid w:val="6B47F63E"/>
    <w:multiLevelType w:val="hybridMultilevel"/>
    <w:lvl w:ilvl="0">
      <w:lvlJc w:val="left"/>
      <w:lvlText w:val="%1."/>
      <w:numFmt w:val="lowerLetter"/>
      <w:start w:val="3"/>
    </w:lvl>
  </w:abstractNum>
  <w:abstractNum w:abstractNumId="122">
    <w:nsid w:val="5CB44A05"/>
    <w:multiLevelType w:val="hybridMultilevel"/>
    <w:lvl w:ilvl="0">
      <w:lvlJc w:val="left"/>
      <w:lvlText w:val="%1."/>
      <w:numFmt w:val="lowerLetter"/>
      <w:start w:val="1"/>
    </w:lvl>
  </w:abstractNum>
  <w:abstractNum w:abstractNumId="123">
    <w:nsid w:val="16CF80F1"/>
    <w:multiLevelType w:val="hybridMultilevel"/>
    <w:lvl w:ilvl="0">
      <w:lvlJc w:val="left"/>
      <w:lvlText w:val="%1."/>
      <w:numFmt w:val="lowerLetter"/>
      <w:start w:val="2"/>
    </w:lvl>
  </w:abstractNum>
  <w:abstractNum w:abstractNumId="124">
    <w:nsid w:val="1C695DEC"/>
    <w:multiLevelType w:val="hybridMultilevel"/>
    <w:lvl w:ilvl="0">
      <w:lvlJc w:val="left"/>
      <w:lvlText w:val="%1."/>
      <w:numFmt w:val="lowerLetter"/>
      <w:start w:val="3"/>
    </w:lvl>
  </w:abstractNum>
  <w:abstractNum w:abstractNumId="125">
    <w:nsid w:val="3FCFAED9"/>
    <w:multiLevelType w:val="hybridMultilevel"/>
    <w:lvl w:ilvl="0">
      <w:lvlJc w:val="left"/>
      <w:lvlText w:val="%1."/>
      <w:numFmt w:val="lowerLetter"/>
      <w:start w:val="4"/>
    </w:lvl>
  </w:abstractNum>
  <w:abstractNum w:abstractNumId="126">
    <w:nsid w:val="F856867"/>
    <w:multiLevelType w:val="hybridMultilevel"/>
    <w:lvl w:ilvl="0">
      <w:lvlJc w:val="left"/>
      <w:lvlText w:val="%1."/>
      <w:numFmt w:val="lowerLetter"/>
      <w:start w:val="5"/>
    </w:lvl>
  </w:abstractNum>
  <w:abstractNum w:abstractNumId="127">
    <w:nsid w:val="11B1CC33"/>
    <w:multiLevelType w:val="hybridMultilevel"/>
    <w:lvl w:ilvl="0">
      <w:lvlJc w:val="left"/>
      <w:lvlText w:val="%1."/>
      <w:numFmt w:val="lowerLetter"/>
      <w:start w:val="7"/>
    </w:lvl>
  </w:abstractNum>
  <w:abstractNum w:abstractNumId="128">
    <w:nsid w:val="2E22FBB7"/>
    <w:multiLevelType w:val="hybridMultilevel"/>
    <w:lvl w:ilvl="0">
      <w:lvlJc w:val="left"/>
      <w:lvlText w:val="%1."/>
      <w:numFmt w:val="lowerLetter"/>
      <w:start w:val="8"/>
    </w:lvl>
  </w:abstractNum>
  <w:abstractNum w:abstractNumId="129">
    <w:nsid w:val="29934699"/>
    <w:multiLevelType w:val="hybridMultilevel"/>
    <w:lvl w:ilvl="0">
      <w:lvlJc w:val="left"/>
      <w:lvlText w:val="%1."/>
      <w:numFmt w:val="lowerRoman"/>
      <w:start w:val="1"/>
    </w:lvl>
  </w:abstractNum>
  <w:abstractNum w:abstractNumId="130">
    <w:nsid w:val="77485850"/>
    <w:multiLevelType w:val="hybridMultilevel"/>
    <w:lvl w:ilvl="0">
      <w:lvlJc w:val="left"/>
      <w:lvlText w:val="(*)"/>
      <w:numFmt w:val="bullet"/>
      <w:start w:val="1"/>
    </w:lvl>
  </w:abstractNum>
  <w:abstractNum w:abstractNumId="131">
    <w:nsid w:val="744939A3"/>
    <w:multiLevelType w:val="hybridMultilevel"/>
    <w:lvl w:ilvl="0">
      <w:lvlJc w:val="left"/>
      <w:lvlText w:val="%1."/>
      <w:numFmt w:val="lowerLetter"/>
      <w:start w:val="1"/>
    </w:lvl>
  </w:abstractNum>
  <w:abstractNum w:abstractNumId="132">
    <w:nsid w:val="4FA0D2E3"/>
    <w:multiLevelType w:val="hybridMultilevel"/>
    <w:lvl w:ilvl="0">
      <w:lvlJc w:val="left"/>
      <w:lvlText w:val="%1."/>
      <w:numFmt w:val="lowerLetter"/>
      <w:start w:val="6"/>
    </w:lvl>
  </w:abstractNum>
  <w:abstractNum w:abstractNumId="133">
    <w:nsid w:val="6B1D2C14"/>
    <w:multiLevelType w:val="hybridMultilevel"/>
    <w:lvl w:ilvl="0">
      <w:lvlJc w:val="left"/>
      <w:lvlText w:val="•"/>
      <w:numFmt w:val="bullet"/>
      <w:start w:val="1"/>
    </w:lvl>
  </w:abstractNum>
  <w:abstractNum w:abstractNumId="134">
    <w:nsid w:val="68B867D3"/>
    <w:multiLevelType w:val="hybridMultilevel"/>
    <w:lvl w:ilvl="0">
      <w:lvlJc w:val="left"/>
      <w:lvlText w:val="•"/>
      <w:numFmt w:val="bullet"/>
      <w:start w:val="1"/>
    </w:lvl>
  </w:abstractNum>
  <w:abstractNum w:abstractNumId="135">
    <w:nsid w:val="3F7F5DD9"/>
    <w:multiLevelType w:val="hybridMultilevel"/>
    <w:lvl w:ilvl="0">
      <w:lvlJc w:val="left"/>
      <w:lvlText w:val="•"/>
      <w:numFmt w:val="bullet"/>
      <w:start w:val="1"/>
    </w:lvl>
  </w:abstractNum>
  <w:abstractNum w:abstractNumId="136">
    <w:nsid w:val="2AE05A34"/>
    <w:multiLevelType w:val="hybridMultilevel"/>
    <w:lvl w:ilvl="0">
      <w:lvlJc w:val="left"/>
      <w:lvlText w:val="•"/>
      <w:numFmt w:val="bullet"/>
      <w:start w:val="1"/>
    </w:lvl>
  </w:abstractNum>
  <w:abstractNum w:abstractNumId="137">
    <w:nsid w:val="32794FF7"/>
    <w:multiLevelType w:val="hybridMultilevel"/>
    <w:lvl w:ilvl="0">
      <w:lvlJc w:val="left"/>
      <w:lvlText w:val="•"/>
      <w:numFmt w:val="bullet"/>
      <w:start w:val="1"/>
    </w:lvl>
  </w:abstractNum>
  <w:abstractNum w:abstractNumId="138">
    <w:nsid w:val="5454945E"/>
    <w:multiLevelType w:val="hybridMultilevel"/>
    <w:lvl w:ilvl="0">
      <w:lvlJc w:val="left"/>
      <w:lvlText w:val="(%1)"/>
      <w:numFmt w:val="lowerLetter"/>
      <w:start w:val="1"/>
    </w:lvl>
  </w:abstractNum>
  <w:abstractNum w:abstractNumId="139">
    <w:nsid w:val="4DEFDFA0"/>
    <w:multiLevelType w:val="hybridMultilevel"/>
    <w:lvl w:ilvl="0">
      <w:lvlJc w:val="left"/>
      <w:lvlText w:val="%1."/>
      <w:numFmt w:val="decimal"/>
      <w:start w:val="1"/>
    </w:lvl>
  </w:abstractNum>
  <w:abstractNum w:abstractNumId="140">
    <w:nsid w:val="2123D5F2"/>
    <w:multiLevelType w:val="hybridMultilevel"/>
    <w:lvl w:ilvl="0">
      <w:lvlJc w:val="left"/>
      <w:lvlText w:val="#"/>
      <w:numFmt w:val="bullet"/>
      <w:start w:val="1"/>
    </w:lvl>
  </w:abstractNum>
  <w:abstractNum w:abstractNumId="141">
    <w:nsid w:val="135B8110"/>
    <w:multiLevelType w:val="hybridMultilevel"/>
    <w:lvl w:ilvl="0">
      <w:lvlJc w:val="left"/>
      <w:lvlText w:val="†"/>
      <w:numFmt w:val="bullet"/>
      <w:start w:val="1"/>
    </w:lvl>
  </w:abstractNum>
  <w:abstractNum w:abstractNumId="142">
    <w:nsid w:val="94927A8"/>
    <w:multiLevelType w:val="hybridMultilevel"/>
    <w:lvl w:ilvl="0">
      <w:lvlJc w:val="left"/>
      <w:lvlText w:val="%1."/>
      <w:numFmt w:val="decimal"/>
      <w:start w:val="1"/>
    </w:lvl>
  </w:abstractNum>
  <w:abstractNum w:abstractNumId="143">
    <w:nsid w:val="DCDF8F6"/>
    <w:multiLevelType w:val="hybridMultilevel"/>
    <w:lvl w:ilvl="0">
      <w:lvlJc w:val="left"/>
      <w:lvlText w:val="(%1)"/>
      <w:numFmt w:val="lowerLetter"/>
      <w:start w:val="1"/>
    </w:lvl>
    <w:lvl w:ilvl="1">
      <w:lvlJc w:val="left"/>
      <w:lvlText w:val="(%2)"/>
      <w:numFmt w:val="lowerLetter"/>
      <w:start w:val="9"/>
    </w:lvl>
  </w:abstractNum>
  <w:abstractNum w:abstractNumId="144">
    <w:nsid w:val="52D7B105"/>
    <w:multiLevelType w:val="hybridMultilevel"/>
    <w:lvl w:ilvl="0">
      <w:lvlJc w:val="left"/>
      <w:lvlText w:val="(%1)"/>
      <w:numFmt w:val="lowerRoman"/>
      <w:start w:val="2"/>
    </w:lvl>
  </w:abstractNum>
  <w:abstractNum w:abstractNumId="145">
    <w:nsid w:val="2E8A6394"/>
    <w:multiLevelType w:val="hybridMultilevel"/>
    <w:lvl w:ilvl="0">
      <w:lvlJc w:val="left"/>
      <w:lvlText w:val="(%1)"/>
      <w:numFmt w:val="lowerLetter"/>
      <w:start w:val="2"/>
    </w:lvl>
  </w:abstractNum>
  <w:abstractNum w:abstractNumId="146">
    <w:nsid w:val="24E60401"/>
    <w:multiLevelType w:val="hybridMultilevel"/>
    <w:lvl w:ilvl="0">
      <w:lvlJc w:val="left"/>
      <w:lvlText w:val="(%1)"/>
      <w:numFmt w:val="lowerLetter"/>
      <w:start w:val="3"/>
    </w:lvl>
  </w:abstractNum>
  <w:abstractNum w:abstractNumId="147">
    <w:nsid w:val="2A6AD9BE"/>
    <w:multiLevelType w:val="hybridMultilevel"/>
    <w:lvl w:ilvl="0">
      <w:lvlJc w:val="left"/>
      <w:lvlText w:val="(%1)"/>
      <w:numFmt w:val="lowerLetter"/>
      <w:start w:val="9"/>
    </w:lvl>
  </w:abstractNum>
  <w:abstractNum w:abstractNumId="148">
    <w:nsid w:val="BAAC1B4"/>
    <w:multiLevelType w:val="hybridMultilevel"/>
    <w:lvl w:ilvl="0">
      <w:lvlJc w:val="left"/>
      <w:lvlText w:val="(%1)"/>
      <w:numFmt w:val="lowerLetter"/>
      <w:start w:val="12"/>
    </w:lvl>
  </w:abstractNum>
  <w:abstractNum w:abstractNumId="149">
    <w:nsid w:val="36B2ACBC"/>
    <w:multiLevelType w:val="hybridMultilevel"/>
    <w:lvl w:ilvl="0">
      <w:lvlJc w:val="left"/>
      <w:lvlText w:val="(%1)"/>
      <w:numFmt w:val="lowerLetter"/>
      <w:start w:val="17"/>
    </w:lvl>
  </w:abstractNum>
  <w:abstractNum w:abstractNumId="150">
    <w:nsid w:val="779D8544"/>
    <w:multiLevelType w:val="hybridMultilevel"/>
    <w:lvl w:ilvl="0">
      <w:lvlJc w:val="left"/>
      <w:lvlText w:val="(%1)"/>
      <w:numFmt w:val="lowerLetter"/>
      <w:start w:val="20"/>
    </w:lvl>
  </w:abstractNum>
  <w:abstractNum w:abstractNumId="151">
    <w:nsid w:val="4AB26E78"/>
    <w:multiLevelType w:val="hybridMultilevel"/>
    <w:lvl w:ilvl="0">
      <w:lvlJc w:val="left"/>
      <w:lvlText w:val="(%1)"/>
      <w:numFmt w:val="lowerLetter"/>
      <w:start w:val="25"/>
    </w:lvl>
  </w:abstractNum>
  <w:abstractNum w:abstractNumId="152">
    <w:nsid w:val="21FAA2FA"/>
    <w:multiLevelType w:val="hybridMultilevel"/>
    <w:lvl w:ilvl="0">
      <w:lvlJc w:val="left"/>
      <w:lvlText w:val="(%1)"/>
      <w:numFmt w:val="lowerLetter"/>
      <w:start w:val="27"/>
    </w:lvl>
  </w:abstractNum>
  <w:abstractNum w:abstractNumId="153">
    <w:nsid w:val="5451CF49"/>
    <w:multiLevelType w:val="hybridMultilevel"/>
    <w:lvl w:ilvl="0">
      <w:lvlJc w:val="left"/>
      <w:lvlText w:val="(%1)"/>
      <w:numFmt w:val="lowerLetter"/>
      <w:start w:val="29"/>
    </w:lvl>
  </w:abstractNum>
  <w:abstractNum w:abstractNumId="154">
    <w:nsid w:val="6181EF69"/>
    <w:multiLevelType w:val="hybridMultilevel"/>
    <w:lvl w:ilvl="0">
      <w:lvlJc w:val="left"/>
      <w:lvlText w:val="(%1)"/>
      <w:numFmt w:val="lowerLetter"/>
      <w:start w:val="31"/>
    </w:lvl>
  </w:abstractNum>
  <w:abstractNum w:abstractNumId="155">
    <w:nsid w:val="3E6400E6"/>
    <w:multiLevelType w:val="hybridMultilevel"/>
    <w:lvl w:ilvl="0">
      <w:lvlJc w:val="left"/>
      <w:lvlText w:val="(%1)"/>
      <w:numFmt w:val="lowerLetter"/>
      <w:start w:val="35"/>
    </w:lvl>
  </w:abstractNum>
  <w:abstractNum w:abstractNumId="156">
    <w:nsid w:val="14217E23"/>
    <w:multiLevelType w:val="hybridMultilevel"/>
    <w:lvl w:ilvl="0">
      <w:lvlJc w:val="left"/>
      <w:lvlText w:val="(%1)"/>
      <w:numFmt w:val="lowerLetter"/>
      <w:start w:val="39"/>
    </w:lvl>
  </w:abstractNum>
  <w:abstractNum w:abstractNumId="157">
    <w:nsid w:val="710757D0"/>
    <w:multiLevelType w:val="hybridMultilevel"/>
    <w:lvl w:ilvl="0">
      <w:lvlJc w:val="left"/>
      <w:lvlText w:val="(%1)"/>
      <w:numFmt w:val="lowerLetter"/>
      <w:start w:val="44"/>
    </w:lvl>
  </w:abstractNum>
  <w:abstractNum w:abstractNumId="158">
    <w:nsid w:val="5015CD1A"/>
    <w:multiLevelType w:val="hybridMultilevel"/>
    <w:lvl w:ilvl="0">
      <w:lvlJc w:val="left"/>
      <w:lvlText w:val="(%1)"/>
      <w:numFmt w:val="lowerLetter"/>
      <w:start w:val="46"/>
    </w:lvl>
  </w:abstractNum>
  <w:abstractNum w:abstractNumId="159">
    <w:nsid w:val="424479DA"/>
    <w:multiLevelType w:val="hybridMultilevel"/>
    <w:lvl w:ilvl="0">
      <w:lvlJc w:val="left"/>
      <w:lvlText w:val="(%1)"/>
      <w:numFmt w:val="lowerLetter"/>
      <w:start w:val="53"/>
    </w:lvl>
  </w:abstractNum>
  <w:abstractNum w:abstractNumId="160">
    <w:nsid w:val="1A9A9E69"/>
    <w:multiLevelType w:val="hybridMultilevel"/>
    <w:lvl w:ilvl="0">
      <w:lvlJc w:val="left"/>
      <w:lvlText w:val="(%1)"/>
      <w:numFmt w:val="lowerLetter"/>
      <w:start w:val="58"/>
    </w:lvl>
  </w:abstractNum>
  <w:abstractNum w:abstractNumId="161">
    <w:nsid w:val="475E256A"/>
    <w:multiLevelType w:val="hybridMultilevel"/>
    <w:lvl w:ilvl="0">
      <w:lvlJc w:val="left"/>
      <w:lvlText w:val="%1."/>
      <w:numFmt w:val="decimal"/>
      <w:start w:val="2"/>
    </w:lvl>
  </w:abstractNum>
  <w:abstractNum w:abstractNumId="162">
    <w:nsid w:val="368DB37E"/>
    <w:multiLevelType w:val="hybridMultilevel"/>
    <w:lvl w:ilvl="0">
      <w:lvlJc w:val="left"/>
      <w:lvlText w:val="%1."/>
      <w:numFmt w:val="decimal"/>
      <w:start w:val="3"/>
    </w:lvl>
  </w:abstractNum>
  <w:abstractNum w:abstractNumId="163">
    <w:nsid w:val="6A3B714C"/>
    <w:multiLevelType w:val="hybridMultilevel"/>
    <w:lvl w:ilvl="0">
      <w:lvlJc w:val="left"/>
      <w:lvlText w:val="%1."/>
      <w:numFmt w:val="decimal"/>
      <w:start w:val="4"/>
    </w:lvl>
  </w:abstractNum>
  <w:abstractNum w:abstractNumId="164">
    <w:nsid w:val="327B517E"/>
    <w:multiLevelType w:val="hybridMultilevel"/>
    <w:lvl w:ilvl="0">
      <w:lvlJc w:val="left"/>
      <w:lvlText w:val="%1."/>
      <w:numFmt w:val="decimal"/>
      <w:start w:val="5"/>
    </w:lvl>
  </w:abstractNum>
  <w:abstractNum w:abstractNumId="165">
    <w:nsid w:val="1F461B51"/>
    <w:multiLevelType w:val="hybridMultilevel"/>
    <w:lvl w:ilvl="0">
      <w:lvlJc w:val="left"/>
      <w:lvlText w:val="(%1)"/>
      <w:numFmt w:val="lowerRoman"/>
      <w:start w:val="1"/>
    </w:lvl>
  </w:abstractNum>
  <w:abstractNum w:abstractNumId="166">
    <w:nsid w:val="29BACF25"/>
    <w:multiLevelType w:val="hybridMultilevel"/>
    <w:lvl w:ilvl="0">
      <w:lvlJc w:val="left"/>
      <w:lvlText w:val="%1"/>
      <w:numFmt w:val="upperLetter"/>
      <w:start w:val="1"/>
    </w:lvl>
    <w:lvl w:ilvl="1">
      <w:lvlJc w:val="left"/>
      <w:lvlText w:val="(%2)"/>
      <w:numFmt w:val="lowerRoman"/>
      <w:start w:val="2"/>
    </w:lvl>
  </w:abstractNum>
  <w:abstractNum w:abstractNumId="167">
    <w:nsid w:val="5D5BABB3"/>
    <w:multiLevelType w:val="hybridMultilevel"/>
    <w:lvl w:ilvl="0">
      <w:lvlJc w:val="left"/>
      <w:lvlText w:val="(%1)"/>
      <w:numFmt w:val="upperLetter"/>
      <w:start w:val="1"/>
    </w:lvl>
    <w:lvl w:ilvl="1">
      <w:lvlJc w:val="left"/>
      <w:lvlText w:val="(%2)"/>
      <w:numFmt w:val="lowerRoman"/>
      <w:start w:val="4"/>
    </w:lvl>
  </w:abstractNum>
  <w:abstractNum w:abstractNumId="168">
    <w:nsid w:val="51BF6B48"/>
    <w:multiLevelType w:val="hybridMultilevel"/>
    <w:lvl w:ilvl="0">
      <w:lvlJc w:val="left"/>
      <w:lvlText w:val="%1"/>
      <w:numFmt w:val="upperLetter"/>
      <w:start w:val="1"/>
    </w:lvl>
    <w:lvl w:ilvl="1">
      <w:lvlJc w:val="left"/>
      <w:lvlText w:val="(%2)"/>
      <w:numFmt w:val="lowerRoman"/>
      <w:start w:val="8"/>
    </w:lvl>
  </w:abstractNum>
  <w:abstractNum w:abstractNumId="169">
    <w:nsid w:val="7E0F6384"/>
    <w:multiLevelType w:val="hybridMultilevel"/>
    <w:lvl w:ilvl="0">
      <w:lvlJc w:val="left"/>
      <w:lvlText w:val="(%1)"/>
      <w:numFmt w:val="upperLetter"/>
      <w:start w:val="4"/>
    </w:lvl>
    <w:lvl w:ilvl="1">
      <w:lvlJc w:val="left"/>
      <w:lvlText w:val="%2"/>
      <w:numFmt w:val="lowerRoman"/>
      <w:start w:val="1"/>
    </w:lvl>
  </w:abstractNum>
  <w:abstractNum w:abstractNumId="170">
    <w:nsid w:val="2B4B8B53"/>
    <w:multiLevelType w:val="hybridMultilevel"/>
    <w:lvl w:ilvl="0">
      <w:lvlJc w:val="left"/>
      <w:lvlText w:val="(%1)"/>
      <w:numFmt w:val="lowerRoman"/>
      <w:start w:val="11"/>
    </w:lvl>
  </w:abstractNum>
  <w:abstractNum w:abstractNumId="171">
    <w:nsid w:val="72E3413A"/>
    <w:multiLevelType w:val="hybridMultilevel"/>
    <w:lvl w:ilvl="0">
      <w:lvlJc w:val="left"/>
      <w:lvlText w:val="(%1)"/>
      <w:numFmt w:val="upperLetter"/>
      <w:start w:val="1"/>
    </w:lvl>
    <w:lvl w:ilvl="1">
      <w:lvlJc w:val="left"/>
      <w:lvlText w:val="(%2)"/>
      <w:numFmt w:val="lowerRoman"/>
      <w:start w:val="17"/>
    </w:lvl>
    <w:lvl w:ilvl="2">
      <w:lvlJc w:val="left"/>
      <w:lvlText w:val="(%3)"/>
      <w:numFmt w:val="lowerLetter"/>
      <w:start w:val="2"/>
    </w:lvl>
  </w:abstractNum>
  <w:abstractNum w:abstractNumId="172">
    <w:nsid w:val="116AE494"/>
    <w:multiLevelType w:val="hybridMultilevel"/>
    <w:lvl w:ilvl="0">
      <w:lvlJc w:val="left"/>
      <w:lvlText w:val="%1"/>
      <w:numFmt w:val="lowerLetter"/>
      <w:start w:val="1"/>
    </w:lvl>
    <w:lvl w:ilvl="1">
      <w:lvlJc w:val="left"/>
      <w:lvlText w:val="%2."/>
      <w:numFmt w:val="decimal"/>
      <w:start w:val="6"/>
    </w:lvl>
  </w:abstractNum>
  <w:abstractNum w:abstractNumId="173">
    <w:nsid w:val="3494B2FB"/>
    <w:multiLevelType w:val="hybridMultilevel"/>
    <w:lvl w:ilvl="0">
      <w:lvlJc w:val="left"/>
      <w:lvlText w:val="(%1)"/>
      <w:numFmt w:val="lowerLetter"/>
      <w:start w:val="5"/>
    </w:lvl>
    <w:lvl w:ilvl="1">
      <w:lvlJc w:val="left"/>
      <w:lvlText w:val="%2"/>
      <w:numFmt w:val="decimal"/>
      <w:start w:val="1"/>
    </w:lvl>
  </w:abstractNum>
  <w:abstractNum w:abstractNumId="174">
    <w:nsid w:val="B13A31"/>
    <w:multiLevelType w:val="hybridMultilevel"/>
    <w:lvl w:ilvl="0">
      <w:lvlJc w:val="left"/>
      <w:lvlText w:val="%1."/>
      <w:numFmt w:val="decimal"/>
      <w:start w:val="7"/>
    </w:lvl>
  </w:abstractNum>
  <w:abstractNum w:abstractNumId="175">
    <w:nsid w:val="64429599"/>
    <w:multiLevelType w:val="hybridMultilevel"/>
    <w:lvl w:ilvl="0">
      <w:lvlJc w:val="left"/>
      <w:lvlText w:val="(%1)"/>
      <w:numFmt w:val="lowerLetter"/>
      <w:start w:val="1"/>
    </w:lvl>
  </w:abstractNum>
  <w:abstractNum w:abstractNumId="176">
    <w:nsid w:val="631F1690"/>
    <w:multiLevelType w:val="hybridMultilevel"/>
    <w:lvl w:ilvl="0">
      <w:lvlJc w:val="left"/>
      <w:lvlText w:val="(%1)"/>
      <w:numFmt w:val="lowerLetter"/>
      <w:start w:val="4"/>
    </w:lvl>
  </w:abstractNum>
  <w:abstractNum w:abstractNumId="177">
    <w:nsid w:val="25973E32"/>
    <w:multiLevelType w:val="hybridMultilevel"/>
    <w:lvl w:ilvl="0">
      <w:lvlJc w:val="left"/>
      <w:lvlText w:val="(%1)"/>
      <w:numFmt w:val="lowerLetter"/>
      <w:start w:val="10"/>
    </w:lvl>
    <w:lvl w:ilvl="1">
      <w:lvlJc w:val="left"/>
      <w:lvlText w:val="(%2)"/>
      <w:numFmt w:val="upperLetter"/>
    </w:lvl>
    <w:lvl w:ilvl="2">
      <w:lvlJc w:val="left"/>
      <w:lvlText w:val="(%3)"/>
      <w:numFmt w:val="lowerRoman"/>
      <w:start w:val="1"/>
    </w:lvl>
  </w:abstractNum>
  <w:abstractNum w:abstractNumId="178">
    <w:nsid w:val="EAD6F5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179">
    <w:nsid w:val="6EC9D844"/>
    <w:multiLevelType w:val="hybridMultilevel"/>
    <w:lvl w:ilvl="0">
      <w:lvlJc w:val="left"/>
      <w:lvlText w:val="(%1)"/>
      <w:numFmt w:val="lowerLetter"/>
      <w:start w:val="12"/>
    </w:lvl>
  </w:abstractNum>
  <w:abstractNum w:abstractNumId="180">
    <w:nsid w:val="5C49EAEE"/>
    <w:multiLevelType w:val="hybridMultilevel"/>
    <w:lvl w:ilvl="0">
      <w:lvlJc w:val="left"/>
      <w:lvlText w:val="(%1)"/>
      <w:numFmt w:val="lowerLetter"/>
      <w:start w:val="16"/>
    </w:lvl>
  </w:abstractNum>
  <w:abstractNum w:abstractNumId="181">
    <w:nsid w:val="64AF49B"/>
    <w:multiLevelType w:val="hybridMultilevel"/>
    <w:lvl w:ilvl="0">
      <w:lvlJc w:val="left"/>
      <w:lvlText w:val="%1."/>
      <w:numFmt w:val="decimal"/>
      <w:start w:val="8"/>
    </w:lvl>
  </w:abstractNum>
  <w:abstractNum w:abstractNumId="182">
    <w:nsid w:val="397C46BC"/>
    <w:multiLevelType w:val="hybridMultilevel"/>
    <w:lvl w:ilvl="0">
      <w:lvlJc w:val="left"/>
      <w:lvlText w:val="(%1)"/>
      <w:numFmt w:val="lowerLetter"/>
      <w:start w:val="1"/>
    </w:lvl>
  </w:abstractNum>
  <w:abstractNum w:abstractNumId="183">
    <w:nsid w:val="7E448DE9"/>
    <w:multiLevelType w:val="hybridMultilevel"/>
    <w:lvl w:ilvl="0">
      <w:lvlJc w:val="left"/>
      <w:lvlText w:val="(%1)"/>
      <w:numFmt w:val="lowerLetter"/>
      <w:start w:val="2"/>
    </w:lvl>
  </w:abstractNum>
  <w:abstractNum w:abstractNumId="184">
    <w:nsid w:val="5A9CC3E5"/>
    <w:multiLevelType w:val="hybridMultilevel"/>
    <w:lvl w:ilvl="0">
      <w:lvlJc w:val="left"/>
      <w:lvlText w:val="%1"/>
      <w:numFmt w:val="lowerLetter"/>
      <w:start w:val="1"/>
    </w:lvl>
    <w:lvl w:ilvl="1">
      <w:lvlJc w:val="left"/>
      <w:lvlText w:val="(%2)"/>
      <w:numFmt w:val="lowerLetter"/>
      <w:start w:val="4"/>
    </w:lvl>
  </w:abstractNum>
  <w:abstractNum w:abstractNumId="185">
    <w:nsid w:val="1AFE3625"/>
    <w:multiLevelType w:val="hybridMultilevel"/>
    <w:lvl w:ilvl="0">
      <w:lvlJc w:val="left"/>
      <w:lvlText w:val="(%1)"/>
      <w:numFmt w:val="lowerLetter"/>
      <w:start w:val="9"/>
    </w:lvl>
    <w:lvl w:ilvl="1">
      <w:lvlJc w:val="left"/>
      <w:lvlText w:val="%2"/>
      <w:numFmt w:val="lowerLetter"/>
      <w:start w:val="1"/>
    </w:lvl>
  </w:abstractNum>
  <w:abstractNum w:abstractNumId="186">
    <w:nsid w:val="3CA88ECF"/>
    <w:multiLevelType w:val="hybridMultilevel"/>
    <w:lvl w:ilvl="0">
      <w:lvlJc w:val="left"/>
      <w:lvlText w:val="(%1)"/>
      <w:numFmt w:val="lowerLetter"/>
      <w:start w:val="5"/>
    </w:lvl>
  </w:abstractNum>
  <w:abstractNum w:abstractNumId="187">
    <w:nsid w:val="6EBE4208"/>
    <w:multiLevelType w:val="hybridMultilevel"/>
    <w:lvl w:ilvl="0">
      <w:lvlJc w:val="left"/>
      <w:lvlText w:val="%1."/>
      <w:numFmt w:val="decimal"/>
      <w:start w:val="9"/>
    </w:lvl>
    <w:lvl w:ilvl="1">
      <w:lvlJc w:val="left"/>
      <w:lvlText w:val="(%2)"/>
      <w:numFmt w:val="lowerLetter"/>
      <w:start w:val="1"/>
    </w:lvl>
  </w:abstractNum>
  <w:abstractNum w:abstractNumId="188">
    <w:nsid w:val="C058DF5"/>
    <w:multiLevelType w:val="hybridMultilevel"/>
    <w:lvl w:ilvl="0">
      <w:lvlJc w:val="left"/>
      <w:lvlText w:val="%1"/>
      <w:numFmt w:val="decimal"/>
      <w:start w:val="1"/>
    </w:lvl>
    <w:lvl w:ilvl="1">
      <w:lvlJc w:val="left"/>
      <w:lvlText w:val="(%2)"/>
      <w:numFmt w:val="lowerLetter"/>
      <w:start w:val="3"/>
    </w:lvl>
  </w:abstractNum>
  <w:abstractNum w:abstractNumId="189">
    <w:nsid w:val="CBE5BE9"/>
    <w:multiLevelType w:val="hybridMultilevel"/>
    <w:lvl w:ilvl="0">
      <w:lvlJc w:val="left"/>
      <w:lvlText w:val="%1."/>
      <w:numFmt w:val="decimal"/>
      <w:start w:val="10"/>
    </w:lvl>
    <w:lvl w:ilvl="1">
      <w:lvlJc w:val="left"/>
      <w:lvlText w:val="%2"/>
      <w:numFmt w:val="lowerLetter"/>
      <w:start w:val="1"/>
    </w:lvl>
  </w:abstractNum>
  <w:abstractNum w:abstractNumId="190">
    <w:nsid w:val="3102BBE2"/>
    <w:multiLevelType w:val="hybridMultilevel"/>
    <w:lvl w:ilvl="0">
      <w:lvlJc w:val="left"/>
      <w:lvlText w:val="%1."/>
      <w:numFmt w:val="decimal"/>
      <w:start w:val="13"/>
    </w:lvl>
    <w:lvl w:ilvl="1">
      <w:lvlJc w:val="left"/>
      <w:lvlText w:val="(%2)"/>
      <w:numFmt w:val="lowerLetter"/>
      <w:start w:val="1"/>
    </w:lvl>
  </w:abstractNum>
  <w:abstractNum w:abstractNumId="191">
    <w:nsid w:val="26A02C5E"/>
    <w:multiLevelType w:val="hybridMultilevel"/>
    <w:lvl w:ilvl="0">
      <w:lvlJc w:val="left"/>
      <w:lvlText w:val="%1."/>
      <w:numFmt w:val="decimal"/>
      <w:start w:val="15"/>
    </w:lvl>
  </w:abstractNum>
  <w:abstractNum w:abstractNumId="192">
    <w:nsid w:val="541C8153"/>
    <w:multiLevelType w:val="hybridMultilevel"/>
    <w:lvl w:ilvl="0">
      <w:lvlJc w:val="left"/>
      <w:lvlText w:val="%1."/>
      <w:numFmt w:val="decimal"/>
      <w:start w:val="16"/>
    </w:lvl>
  </w:abstractNum>
  <w:abstractNum w:abstractNumId="193">
    <w:nsid w:val="67906F60"/>
    <w:multiLevelType w:val="hybridMultilevel"/>
    <w:lvl w:ilvl="0">
      <w:lvlJc w:val="left"/>
      <w:lvlText w:val="%1."/>
      <w:numFmt w:val="decimal"/>
      <w:start w:val="21"/>
    </w:lvl>
  </w:abstractNum>
  <w:abstractNum w:abstractNumId="194">
    <w:nsid w:val="10DB9DAA"/>
    <w:multiLevelType w:val="hybridMultilevel"/>
    <w:lvl w:ilvl="0">
      <w:lvlJc w:val="left"/>
      <w:lvlText w:val="%1."/>
      <w:numFmt w:val="decimal"/>
      <w:start w:val="1"/>
    </w:lvl>
  </w:abstractNum>
  <w:abstractNum w:abstractNumId="195">
    <w:nsid w:val="697D2D2"/>
    <w:multiLevelType w:val="hybridMultilevel"/>
    <w:lvl w:ilvl="0">
      <w:lvlJc w:val="left"/>
      <w:lvlText w:val="(%1)"/>
      <w:numFmt w:val="lowerLetter"/>
      <w:start w:val="1"/>
    </w:lvl>
  </w:abstractNum>
  <w:abstractNum w:abstractNumId="196">
    <w:nsid w:val="6D68AB2"/>
    <w:multiLevelType w:val="hybridMultilevel"/>
    <w:lvl w:ilvl="0">
      <w:lvlJc w:val="left"/>
      <w:lvlText w:val="(%1)"/>
      <w:numFmt w:val="lowerLetter"/>
      <w:start w:val="6"/>
    </w:lvl>
  </w:abstractNum>
  <w:abstractNum w:abstractNumId="197">
    <w:nsid w:val="3A966CD0"/>
    <w:multiLevelType w:val="hybridMultilevel"/>
    <w:lvl w:ilvl="0">
      <w:lvlJc w:val="left"/>
      <w:lvlText w:val="(%1)"/>
      <w:numFmt w:val="lowerLetter"/>
      <w:start w:val="8"/>
    </w:lvl>
  </w:abstractNum>
  <w:abstractNum w:abstractNumId="198">
    <w:nsid w:val="63F37E85"/>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2019-12-08T10:57:39Z</dcterms:created>
  <dcterms:modified xsi:type="dcterms:W3CDTF">2019-12-08T10:57:39Z</dcterms:modified>
</cp:coreProperties>
</file>