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UNITED STATES</w:t>
      </w:r>
    </w:p>
    <w:p>
      <w:pPr>
        <w:pStyle w:val="TextBody"/>
        <w:bidi w:val="0"/>
        <w:spacing w:lineRule="auto" w:line="300"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SECURITIES AND EXCHANGE COMMISSION</w:t>
      </w:r>
    </w:p>
    <w:p>
      <w:pPr>
        <w:pStyle w:val="TextBody"/>
        <w:bidi w:val="0"/>
        <w:spacing w:lineRule="auto" w:line="300"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Washington, D.C. 20549</w:t>
      </w:r>
    </w:p>
    <w:p>
      <w:pPr>
        <w:pStyle w:val="TextBody"/>
        <w:bidi w:val="0"/>
        <w:spacing w:lineRule="auto" w:line="300" w:before="0" w:after="0"/>
        <w:ind w:left="0" w:right="0" w:firstLine="720"/>
        <w:jc w:val="center"/>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FORM 8-K</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r>
    </w:p>
    <w:p>
      <w:pPr>
        <w:pStyle w:val="TextBody"/>
        <w:bidi w:val="0"/>
        <w:spacing w:lineRule="auto" w:line="300"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CURRENT REPORT</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r>
    </w:p>
    <w:p>
      <w:pPr>
        <w:pStyle w:val="TextBody"/>
        <w:bidi w:val="0"/>
        <w:spacing w:lineRule="auto" w:line="300"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Pursuant to Section 13 or 15(d) of the Securities Exchange Act of 1934 </w:t>
      </w:r>
    </w:p>
    <w:p>
      <w:pPr>
        <w:pStyle w:val="TextBody"/>
        <w:bidi w:val="0"/>
        <w:spacing w:lineRule="auto" w:line="300" w:before="0" w:after="0"/>
        <w:ind w:left="0" w:right="0" w:firstLine="720"/>
        <w:jc w:val="both"/>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 xml:space="preserve">Date of Report (Date of earliest event reported): </w:t>
      </w:r>
      <w:r>
        <w:rPr>
          <w:rFonts w:ascii="Times New Roman;Times;serif" w:hAnsi="Times New Roman;Times;serif"/>
          <w:b w:val="false"/>
          <w:color w:val="000000"/>
          <w:sz w:val="20"/>
          <w:u w:val="single"/>
          <w:shd w:fill="FFFFFF" w:val="clear"/>
        </w:rPr>
        <w:t>August 14, 2026</w:t>
      </w:r>
    </w:p>
    <w:p>
      <w:pPr>
        <w:pStyle w:val="TextBody"/>
        <w:bidi w:val="0"/>
        <w:spacing w:lineRule="auto" w:line="300" w:before="0" w:after="0"/>
        <w:ind w:left="0" w:right="0" w:firstLine="720"/>
        <w:jc w:val="both"/>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b/>
          <w:color w:val="000000"/>
          <w:sz w:val="32"/>
          <w:shd w:fill="FFFFFF" w:val="clear"/>
        </w:rPr>
      </w:pPr>
      <w:r>
        <w:rPr>
          <w:rFonts w:ascii="Times New Roman;Times;serif" w:hAnsi="Times New Roman;Times;serif"/>
          <w:b/>
          <w:color w:val="000000"/>
          <w:sz w:val="32"/>
          <w:shd w:fill="FFFFFF" w:val="clear"/>
        </w:rPr>
        <w:t>Lifeward Ltd.</w:t>
      </w:r>
    </w:p>
    <w:p>
      <w:pPr>
        <w:pStyle w:val="HorizontalLine"/>
        <w:bidi w:val="0"/>
        <w:spacing w:lineRule="auto" w:line="300"/>
        <w:jc w:val="center"/>
        <w:rPr/>
      </w:pPr>
      <w:r>
        <w:rPr/>
      </w:r>
    </w:p>
    <w:p>
      <w:pPr>
        <w:pStyle w:val="TextBody"/>
        <w:bidi w:val="0"/>
        <w:spacing w:lineRule="auto" w:line="300" w:before="0" w:after="0"/>
        <w:jc w:val="center"/>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(Exact name of registrant as specified in its charter)</w:t>
      </w:r>
    </w:p>
    <w:p>
      <w:pPr>
        <w:pStyle w:val="TextBody"/>
        <w:bidi w:val="0"/>
        <w:spacing w:lineRule="auto" w:line="300" w:before="0" w:after="0"/>
        <w:ind w:left="0" w:right="0" w:firstLine="720"/>
        <w:jc w:val="center"/>
        <w:rPr>
          <w:color w:val="000000"/>
          <w:shd w:fill="FFFFFF" w:val="clear"/>
        </w:rPr>
      </w:pPr>
      <w:r>
        <w:rPr>
          <w:color w:val="000000"/>
          <w:shd w:fill="FFFFFF" w:val="clear"/>
        </w:rPr>
        <w:t>  </w:t>
      </w:r>
    </w:p>
    <w:tbl>
      <w:tblPr>
        <w:tblW w:w="8715" w:type="dxa"/>
        <w:jc w:val="left"/>
        <w:tblInd w:w="0" w:type="dxa"/>
        <w:tblLayout w:type="fixed"/>
        <w:tblCellMar>
          <w:top w:w="0" w:type="dxa"/>
          <w:left w:w="0" w:type="dxa"/>
          <w:bottom w:w="28" w:type="dxa"/>
          <w:right w:w="0" w:type="dxa"/>
        </w:tblCellMar>
      </w:tblPr>
      <w:tblGrid>
        <w:gridCol w:w="3620"/>
        <w:gridCol w:w="60"/>
        <w:gridCol w:w="2210"/>
        <w:gridCol w:w="60"/>
        <w:gridCol w:w="2765"/>
      </w:tblGrid>
      <w:tr>
        <w:trPr/>
        <w:tc>
          <w:tcPr>
            <w:tcW w:w="362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Israel</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001-36612</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Not applicable</w:t>
            </w:r>
          </w:p>
        </w:tc>
      </w:tr>
      <w:tr>
        <w:trPr/>
        <w:tc>
          <w:tcPr>
            <w:tcW w:w="3620" w:type="dxa"/>
            <w:tcBorders/>
            <w:tcMar>
              <w:bottom w:w="0" w:type="dxa"/>
            </w:tcMar>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(IRS Employer Identification No.)</w:t>
            </w:r>
          </w:p>
        </w:tc>
      </w:tr>
    </w:tbl>
    <w:p>
      <w:pPr>
        <w:pStyle w:val="TextBody"/>
        <w:bidi w:val="0"/>
        <w:spacing w:before="0" w:after="0"/>
        <w:jc w:val="left"/>
        <w:rPr/>
      </w:pPr>
      <w:r>
        <w:rPr/>
      </w:r>
    </w:p>
    <w:tbl>
      <w:tblPr>
        <w:tblW w:w="4165" w:type="dxa"/>
        <w:jc w:val="left"/>
        <w:tblInd w:w="0" w:type="dxa"/>
        <w:tblLayout w:type="fixed"/>
        <w:tblCellMar>
          <w:top w:w="0" w:type="dxa"/>
          <w:left w:w="0" w:type="dxa"/>
          <w:bottom w:w="28" w:type="dxa"/>
          <w:right w:w="0" w:type="dxa"/>
        </w:tblCellMar>
      </w:tblPr>
      <w:tblGrid>
        <w:gridCol w:w="3200"/>
        <w:gridCol w:w="60"/>
        <w:gridCol w:w="905"/>
      </w:tblGrid>
      <w:tr>
        <w:trPr/>
        <w:tc>
          <w:tcPr>
            <w:tcW w:w="320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val="false"/>
                <w:sz w:val="20"/>
              </w:rPr>
              <w:t>2 Cabot Rd., Hudson, MA</w:t>
            </w:r>
            <w:r>
              <w:rPr>
                <w:rFonts w:ascii="Times New Roman;Times;serif" w:hAnsi="Times New Roman;Times;serif"/>
                <w:b/>
                <w:sz w:val="20"/>
              </w:rPr>
              <w:t xml:space="preserve"> </w:t>
            </w:r>
          </w:p>
        </w:tc>
        <w:tc>
          <w:tcPr>
            <w:tcW w:w="60" w:type="dxa"/>
            <w:tcBorders/>
            <w:tcMar>
              <w:bottom w:w="0" w:type="dxa"/>
            </w:tcMar>
            <w:vAlign w:val="center"/>
          </w:tcPr>
          <w:p>
            <w:pPr>
              <w:pStyle w:val="TableContents"/>
              <w:bidi w:val="0"/>
              <w:spacing w:lineRule="auto" w:line="300" w:before="0" w:after="0"/>
              <w:jc w:val="center"/>
              <w:rPr/>
            </w:pPr>
            <w:r>
              <w:rPr/>
              <w:t> </w:t>
            </w:r>
          </w:p>
        </w:tc>
        <w:tc>
          <w:tcPr>
            <w:tcW w:w="90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01749</w:t>
            </w:r>
          </w:p>
        </w:tc>
      </w:tr>
      <w:tr>
        <w:trPr/>
        <w:tc>
          <w:tcPr>
            <w:tcW w:w="3200" w:type="dxa"/>
            <w:tcBorders/>
            <w:tcMar>
              <w:bottom w:w="0" w:type="dxa"/>
            </w:tcMar>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(Address of principal executive offices)</w:t>
            </w:r>
          </w:p>
        </w:tc>
        <w:tc>
          <w:tcPr>
            <w:tcW w:w="60" w:type="dxa"/>
            <w:tcBorders/>
            <w:tcMar>
              <w:bottom w:w="0" w:type="dxa"/>
            </w:tcMar>
            <w:vAlign w:val="center"/>
          </w:tcPr>
          <w:p>
            <w:pPr>
              <w:pStyle w:val="TableContents"/>
              <w:bidi w:val="0"/>
              <w:spacing w:lineRule="auto" w:line="300" w:before="0" w:after="0"/>
              <w:jc w:val="center"/>
              <w:rPr/>
            </w:pPr>
            <w:r>
              <w:rPr/>
              <w:t> </w:t>
            </w:r>
          </w:p>
        </w:tc>
        <w:tc>
          <w:tcPr>
            <w:tcW w:w="905" w:type="dxa"/>
            <w:tcBorders/>
            <w:tcMar>
              <w:bottom w:w="0" w:type="dxa"/>
            </w:tcMar>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(Zip Code)</w:t>
            </w:r>
          </w:p>
        </w:tc>
      </w:tr>
    </w:tbl>
    <w:p>
      <w:pPr>
        <w:pStyle w:val="TextBody"/>
        <w:bidi w:val="0"/>
        <w:spacing w:lineRule="auto" w:line="300" w:before="0" w:after="0"/>
        <w:ind w:left="0" w:right="0" w:firstLine="720"/>
        <w:jc w:val="center"/>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b/>
          <w:color w:val="000000"/>
          <w:sz w:val="20"/>
          <w:shd w:fill="FFFFFF" w:val="clear"/>
        </w:rPr>
      </w:pPr>
      <w:r>
        <w:rPr>
          <w:rFonts w:ascii="Times New Roman;Times;serif" w:hAnsi="Times New Roman;Times;serif"/>
          <w:b w:val="false"/>
          <w:color w:val="000000"/>
          <w:sz w:val="20"/>
          <w:shd w:fill="FFFFFF" w:val="clear"/>
        </w:rPr>
        <w:t xml:space="preserve">Registrant’s telephone number, including area code: </w:t>
      </w:r>
      <w:r>
        <w:rPr>
          <w:rFonts w:ascii="Times New Roman;Times;serif" w:hAnsi="Times New Roman;Times;serif"/>
          <w:b w:val="false"/>
          <w:color w:val="000000"/>
          <w:sz w:val="20"/>
          <w:u w:val="single"/>
          <w:shd w:fill="FFFFFF" w:val="clear"/>
        </w:rPr>
        <w:t>+508.251.1154</w:t>
      </w:r>
      <w:r>
        <w:rPr>
          <w:rFonts w:ascii="Times New Roman;Times;serif" w:hAnsi="Times New Roman;Times;serif"/>
          <w:b/>
          <w:color w:val="000000"/>
          <w:sz w:val="20"/>
          <w:u w:val="single"/>
          <w:shd w:fill="FFFFFF" w:val="clear"/>
        </w:rPr>
        <w:t xml:space="preserve"> </w:t>
      </w:r>
    </w:p>
    <w:p>
      <w:pPr>
        <w:pStyle w:val="TextBody"/>
        <w:bidi w:val="0"/>
        <w:spacing w:before="0" w:after="0"/>
        <w:jc w:val="left"/>
        <w:rPr/>
      </w:pPr>
      <w:r>
        <w:rPr/>
      </w:r>
    </w:p>
    <w:tbl>
      <w:tblPr>
        <w:tblW w:w="1460" w:type="dxa"/>
        <w:jc w:val="center"/>
        <w:tblInd w:w="0" w:type="dxa"/>
        <w:tblLayout w:type="fixed"/>
        <w:tblCellMar>
          <w:top w:w="0" w:type="dxa"/>
          <w:left w:w="0" w:type="dxa"/>
          <w:bottom w:w="28" w:type="dxa"/>
          <w:right w:w="0" w:type="dxa"/>
        </w:tblCellMar>
      </w:tblPr>
      <w:tblGrid>
        <w:gridCol w:w="1460"/>
      </w:tblGrid>
      <w:tr>
        <w:trPr/>
        <w:tc>
          <w:tcPr>
            <w:tcW w:w="1460" w:type="dxa"/>
            <w:tcBorders>
              <w:bottom w:val="single" w:sz="12" w:space="0" w:color="000000"/>
            </w:tcBorders>
            <w:vAlign w:val="center"/>
          </w:tcPr>
          <w:p>
            <w:pPr>
              <w:pStyle w:val="TableContents"/>
              <w:bidi w:val="0"/>
              <w:spacing w:before="0" w:after="0"/>
              <w:jc w:val="center"/>
              <w:rPr>
                <w:b w:val="false"/>
              </w:rPr>
            </w:pPr>
            <w:r>
              <w:rPr>
                <w:b w:val="false"/>
              </w:rPr>
              <w:t xml:space="preserve">Not applicable </w:t>
            </w:r>
          </w:p>
        </w:tc>
      </w:tr>
    </w:tbl>
    <w:p>
      <w:pPr>
        <w:pStyle w:val="TextBody"/>
        <w:bidi w:val="0"/>
        <w:spacing w:lineRule="auto" w:line="300" w:before="0" w:after="0"/>
        <w:jc w:val="center"/>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(Former name or former address, if changed since last report)</w:t>
      </w:r>
    </w:p>
    <w:p>
      <w:pPr>
        <w:pStyle w:val="TextBody"/>
        <w:bidi w:val="0"/>
        <w:spacing w:lineRule="auto" w:line="300" w:before="0" w:after="0"/>
        <w:jc w:val="left"/>
        <w:rPr/>
      </w:pPr>
      <w:r>
        <w:rPr/>
      </w:r>
    </w:p>
    <w:tbl>
      <w:tblPr>
        <w:tblW w:w="7215" w:type="dxa"/>
        <w:jc w:val="left"/>
        <w:tblInd w:w="0" w:type="dxa"/>
        <w:tblLayout w:type="fixed"/>
        <w:tblCellMar>
          <w:top w:w="0" w:type="dxa"/>
          <w:left w:w="0" w:type="dxa"/>
          <w:bottom w:w="28" w:type="dxa"/>
          <w:right w:w="0" w:type="dxa"/>
        </w:tblCellMar>
      </w:tblPr>
      <w:tblGrid>
        <w:gridCol w:w="2840"/>
        <w:gridCol w:w="60"/>
        <w:gridCol w:w="1415"/>
        <w:gridCol w:w="60"/>
        <w:gridCol w:w="2840"/>
      </w:tblGrid>
      <w:tr>
        <w:trPr/>
        <w:tc>
          <w:tcPr>
            <w:tcW w:w="2840" w:type="dxa"/>
            <w:tcBorders>
              <w:bottom w:val="single" w:sz="12" w:space="0" w:color="000000"/>
            </w:tcBorders>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w:t>
              <w:br/>
              <w:t>Section 12(b) of the Exchange Act</w:t>
            </w:r>
          </w:p>
        </w:tc>
        <w:tc>
          <w:tcPr>
            <w:tcW w:w="60" w:type="dxa"/>
            <w:tcBorders/>
            <w:tcMar>
              <w:bottom w:w="0" w:type="dxa"/>
            </w:tcMar>
            <w:vAlign w:val="center"/>
          </w:tcPr>
          <w:p>
            <w:pPr>
              <w:pStyle w:val="TableContents"/>
              <w:bidi w:val="0"/>
              <w:spacing w:lineRule="auto" w:line="300" w:before="0" w:after="0"/>
              <w:jc w:val="center"/>
              <w:rPr/>
            </w:pPr>
            <w:r>
              <w:rPr/>
              <w:t> </w:t>
            </w:r>
          </w:p>
        </w:tc>
        <w:tc>
          <w:tcPr>
            <w:tcW w:w="1415" w:type="dxa"/>
            <w:tcBorders>
              <w:bottom w:val="single" w:sz="12" w:space="0" w:color="000000"/>
            </w:tcBorders>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Trading Symbol</w:t>
            </w:r>
          </w:p>
        </w:tc>
        <w:tc>
          <w:tcPr>
            <w:tcW w:w="60" w:type="dxa"/>
            <w:tcBorders/>
            <w:tcMar>
              <w:bottom w:w="0" w:type="dxa"/>
            </w:tcMar>
            <w:vAlign w:val="center"/>
          </w:tcPr>
          <w:p>
            <w:pPr>
              <w:pStyle w:val="TableContents"/>
              <w:bidi w:val="0"/>
              <w:spacing w:lineRule="auto" w:line="300" w:before="0" w:after="0"/>
              <w:jc w:val="center"/>
              <w:rPr/>
            </w:pPr>
            <w:r>
              <w:rPr/>
              <w:t> </w:t>
            </w:r>
          </w:p>
        </w:tc>
        <w:tc>
          <w:tcPr>
            <w:tcW w:w="2840" w:type="dxa"/>
            <w:tcBorders>
              <w:bottom w:val="single" w:sz="12" w:space="0" w:color="000000"/>
            </w:tcBorders>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w:t>
            </w:r>
          </w:p>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registered</w:t>
            </w:r>
          </w:p>
        </w:tc>
      </w:tr>
      <w:tr>
        <w:trPr/>
        <w:tc>
          <w:tcPr>
            <w:tcW w:w="2840"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 xml:space="preserve">Ordinary shares, no par value  </w:t>
            </w:r>
          </w:p>
        </w:tc>
        <w:tc>
          <w:tcPr>
            <w:tcW w:w="60" w:type="dxa"/>
            <w:tcBorders/>
            <w:shd w:fill="CCEEFF" w:val="clear"/>
            <w:tcMar>
              <w:bottom w:w="0" w:type="dxa"/>
            </w:tcMar>
            <w:vAlign w:val="center"/>
          </w:tcPr>
          <w:p>
            <w:pPr>
              <w:pStyle w:val="TableContents"/>
              <w:bidi w:val="0"/>
              <w:spacing w:lineRule="auto" w:line="300" w:before="0" w:after="0"/>
              <w:jc w:val="both"/>
              <w:rPr/>
            </w:pPr>
            <w:r>
              <w:rPr/>
              <w:t> </w:t>
            </w:r>
          </w:p>
        </w:tc>
        <w:tc>
          <w:tcPr>
            <w:tcW w:w="1415"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LFWD</w:t>
            </w:r>
          </w:p>
        </w:tc>
        <w:tc>
          <w:tcPr>
            <w:tcW w:w="60" w:type="dxa"/>
            <w:tcBorders/>
            <w:shd w:fill="CCEEFF" w:val="clear"/>
            <w:tcMar>
              <w:bottom w:w="0" w:type="dxa"/>
            </w:tcMar>
            <w:vAlign w:val="center"/>
          </w:tcPr>
          <w:p>
            <w:pPr>
              <w:pStyle w:val="TableContents"/>
              <w:bidi w:val="0"/>
              <w:spacing w:lineRule="auto" w:line="300" w:before="0" w:after="0"/>
              <w:jc w:val="both"/>
              <w:rPr/>
            </w:pPr>
            <w:r>
              <w:rPr/>
              <w:t> </w:t>
            </w:r>
          </w:p>
        </w:tc>
        <w:tc>
          <w:tcPr>
            <w:tcW w:w="2840"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olor w:val="000000"/>
          <w:sz w:val="20"/>
          <w:shd w:fill="FFFFFF" w:val="clear"/>
        </w:rPr>
        <w:t>see </w:t>
      </w:r>
      <w:r>
        <w:rPr>
          <w:rFonts w:ascii="Times New Roman;Times;serif" w:hAnsi="Times New Roman;Times;serif"/>
          <w:b w:val="false"/>
          <w:color w:val="000000"/>
          <w:sz w:val="20"/>
          <w:shd w:fill="FFFFFF" w:val="clear"/>
        </w:rPr>
        <w:t>General Instruction A.2. below):</w:t>
      </w:r>
    </w:p>
    <w:p>
      <w:pPr>
        <w:pStyle w:val="TextBody"/>
        <w:bidi w:val="0"/>
        <w:spacing w:lineRule="auto" w:line="300" w:before="0" w:after="0"/>
        <w:jc w:val="both"/>
        <w:rPr/>
      </w:pPr>
      <w:r>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lineRule="auto" w:line="300" w:before="0" w:after="0"/>
              <w:jc w:val="left"/>
              <w:rPr/>
            </w:pPr>
            <w:r>
              <w:rPr/>
              <w:t>☐</w:t>
            </w:r>
          </w:p>
        </w:tc>
        <w:tc>
          <w:tcPr>
            <w:tcW w:w="72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lineRule="auto" w:line="300" w:before="0" w:after="0"/>
        <w:ind w:left="0" w:right="0" w:firstLine="720"/>
        <w:jc w:val="both"/>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lineRule="auto" w:line="300" w:before="0" w:after="0"/>
        <w:ind w:left="0" w:right="0" w:firstLine="720"/>
        <w:jc w:val="both"/>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lineRule="auto" w:line="300" w:before="0" w:after="0"/>
              <w:jc w:val="left"/>
              <w:rPr/>
            </w:pPr>
            <w:r>
              <w:rPr/>
              <w:t>☐</w:t>
            </w:r>
          </w:p>
        </w:tc>
        <w:tc>
          <w:tcPr>
            <w:tcW w:w="90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lineRule="auto" w:line="300" w:before="0" w:after="0"/>
        <w:ind w:left="0" w:right="0" w:firstLine="720"/>
        <w:jc w:val="both"/>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lineRule="auto" w:line="300" w:before="0" w:after="0"/>
              <w:jc w:val="left"/>
              <w:rPr/>
            </w:pPr>
            <w:r>
              <w:rPr/>
              <w:t>☐</w:t>
            </w:r>
          </w:p>
        </w:tc>
        <w:tc>
          <w:tcPr>
            <w:tcW w:w="900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Emerging growth company ☐</w:t>
      </w:r>
    </w:p>
    <w:p>
      <w:pPr>
        <w:pStyle w:val="TextBody"/>
        <w:bidi w:val="0"/>
        <w:spacing w:lineRule="auto" w:line="300" w:before="0" w:after="0"/>
        <w:ind w:left="0" w:right="0" w:firstLine="720"/>
        <w:jc w:val="left"/>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0"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21"/>
        <w:gridCol w:w="9484"/>
      </w:tblGrid>
      <w:tr>
        <w:trPr/>
        <w:tc>
          <w:tcPr>
            <w:tcW w:w="72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5.02</w:t>
            </w:r>
          </w:p>
        </w:tc>
        <w:tc>
          <w:tcPr>
            <w:tcW w:w="948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Appointment of Directors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August 14, 2026, the Board of Directors (the “Board”) of Lifeward Ltd. (the “Company”) appointed Yonason Greenwald and Haggai Zamir, each to serve as a Class III Director, with an initial term expiring at the Company’s 2026 Annual Meeting of Shareholders. Mr. Greenwald will serve as a member of each of the Audit Committee, Compensation Committee and Nominating and Corporate Governance Committee and Mr. Zamir will serve as a member of the Nominating and Corporate Governance Committee.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August 20, 2026, the Board appointed Avraham Gabay to serve as a Class III Director, with an initial term expiring at the Company’s 2026 Annual Meeting of Shareholders. Mr. Gabay will also serve as Chair of the Board.</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compensation for services as a director, each of Mr. Greenwald, Mr. Zamir and Mr. Gabay will be entitled to standard compensation available to non-employee directors of the Company as disclosed under “Director Compensation” in the Company’s Annual Report on Form 10-K, filed with the Securities and Exchange Commission on March 18, 2026. There are no arrangements or understandings between each of Mr. Greenwald,   Mr. Zamir and Mr. Gabay and any other person pursuant to which each such individual was selected as a director. Other than with respect to the above-described arrangements, there are no transactions in which Mr. Greenwald, Mr. Zamir or Mr. Gabay have an interest requiring disclosure under Item 404(a) of Regulation S-K, and Mr. Greenwald, Mr. Zamir and Mr. Gabay do not have any family relationship with any director or executive officer of the Company or any person nominated or chosen by the Company to become a director or executive officer.</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Resignation of Director</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August 20, 2026, Nadav Kidron notified the Board of his decision to step down from the Board, effective immediately. The departure of Mr. Kidron did not result from any disagreement with the Company on any matter relating to its operations, policies or practices. The Company extends its deepest gratitude to Mr. Kidron for his distinguished service to the Board and lasting contributions to the Company.</w:t>
      </w:r>
    </w:p>
    <w:p>
      <w:pPr>
        <w:pStyle w:val="TextBody"/>
        <w:bidi w:val="0"/>
        <w:spacing w:before="0" w:after="0"/>
        <w:jc w:val="left"/>
        <w:rPr/>
      </w:pPr>
      <w:r>
        <w:rPr/>
      </w:r>
    </w:p>
    <w:p>
      <w:pPr>
        <w:pStyle w:val="HorizontalLine"/>
        <w:bidi w:val="0"/>
        <w:spacing w:before="200" w:after="200"/>
        <w:jc w:val="left"/>
        <w:rPr/>
      </w:pPr>
      <w:r>
        <w:rPr/>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r>
    </w:p>
    <w:p>
      <w:pPr>
        <w:pStyle w:val="TextBody"/>
        <w:bidi w:val="0"/>
        <w:spacing w:lineRule="auto" w:line="30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lineRule="auto" w:line="300" w:before="0" w:after="0"/>
        <w:jc w:val="both"/>
        <w:rPr>
          <w:color w:val="000000"/>
          <w:shd w:fill="FFFFFF" w:val="clear"/>
        </w:rPr>
      </w:pPr>
      <w:r>
        <w:rPr>
          <w:color w:val="000000"/>
          <w:shd w:fill="FFFFFF" w:val="clear"/>
        </w:rPr>
        <w:t> </w:t>
      </w:r>
    </w:p>
    <w:tbl>
      <w:tblPr>
        <w:tblW w:w="4380" w:type="dxa"/>
        <w:jc w:val="left"/>
        <w:tblInd w:w="0" w:type="dxa"/>
        <w:tblLayout w:type="fixed"/>
        <w:tblCellMar>
          <w:top w:w="0" w:type="dxa"/>
          <w:left w:w="0" w:type="dxa"/>
          <w:bottom w:w="0" w:type="dxa"/>
          <w:right w:w="0" w:type="dxa"/>
        </w:tblCellMar>
      </w:tblPr>
      <w:tblGrid>
        <w:gridCol w:w="1955"/>
        <w:gridCol w:w="545"/>
        <w:gridCol w:w="1880"/>
      </w:tblGrid>
      <w:tr>
        <w:trPr/>
        <w:tc>
          <w:tcPr>
            <w:tcW w:w="1955" w:type="dxa"/>
            <w:tcBorders/>
            <w:vAlign w:val="center"/>
          </w:tcPr>
          <w:p>
            <w:pPr>
              <w:pStyle w:val="TableContents"/>
              <w:bidi w:val="0"/>
              <w:spacing w:lineRule="auto" w:line="300" w:before="0" w:after="0"/>
              <w:jc w:val="left"/>
              <w:rPr>
                <w:color w:val="000000"/>
              </w:rPr>
            </w:pPr>
            <w:r>
              <w:rPr>
                <w:color w:val="000000"/>
              </w:rPr>
              <w:t> </w:t>
            </w:r>
          </w:p>
        </w:tc>
        <w:tc>
          <w:tcPr>
            <w:tcW w:w="2425" w:type="dxa"/>
            <w:gridSpan w:val="2"/>
            <w:tcBorders/>
            <w:vAlign w:val="center"/>
          </w:tcPr>
          <w:p>
            <w:pPr>
              <w:pStyle w:val="TableContents"/>
              <w:bidi w:val="0"/>
              <w:spacing w:lineRule="auto" w:line="300" w:before="0" w:after="0"/>
              <w:jc w:val="left"/>
              <w:rPr>
                <w:rFonts w:ascii="Times New Roman;serif" w:hAnsi="Times New Roman;serif"/>
                <w:b/>
                <w:color w:val="000000"/>
                <w:sz w:val="20"/>
              </w:rPr>
            </w:pPr>
            <w:r>
              <w:rPr>
                <w:rFonts w:ascii="Times New Roman;serif" w:hAnsi="Times New Roman;serif"/>
                <w:b/>
                <w:color w:val="000000"/>
                <w:sz w:val="20"/>
              </w:rPr>
              <w:t>Lifeward Ltd.</w:t>
            </w:r>
          </w:p>
        </w:tc>
      </w:tr>
      <w:tr>
        <w:trPr/>
        <w:tc>
          <w:tcPr>
            <w:tcW w:w="195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Dated: August 20, 2026</w:t>
            </w:r>
          </w:p>
        </w:tc>
        <w:tc>
          <w:tcPr>
            <w:tcW w:w="545" w:type="dxa"/>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By:</w:t>
            </w:r>
          </w:p>
        </w:tc>
        <w:tc>
          <w:tcPr>
            <w:tcW w:w="188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/s/ Almog Adar</w:t>
            </w:r>
          </w:p>
        </w:tc>
      </w:tr>
      <w:tr>
        <w:trPr/>
        <w:tc>
          <w:tcPr>
            <w:tcW w:w="1955" w:type="dxa"/>
            <w:tcBorders/>
            <w:vAlign w:val="center"/>
          </w:tcPr>
          <w:p>
            <w:pPr>
              <w:pStyle w:val="TableContents"/>
              <w:bidi w:val="0"/>
              <w:spacing w:lineRule="auto" w:line="300" w:before="0" w:after="0"/>
              <w:jc w:val="left"/>
              <w:rPr>
                <w:color w:val="000000"/>
              </w:rPr>
            </w:pPr>
            <w:r>
              <w:rPr>
                <w:color w:val="000000"/>
              </w:rPr>
              <w:t> </w:t>
            </w:r>
          </w:p>
        </w:tc>
        <w:tc>
          <w:tcPr>
            <w:tcW w:w="545" w:type="dxa"/>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Name:</w:t>
            </w:r>
          </w:p>
        </w:tc>
        <w:tc>
          <w:tcPr>
            <w:tcW w:w="1880" w:type="dxa"/>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Almog Adar</w:t>
            </w:r>
          </w:p>
        </w:tc>
      </w:tr>
      <w:tr>
        <w:trPr/>
        <w:tc>
          <w:tcPr>
            <w:tcW w:w="1955" w:type="dxa"/>
            <w:tcBorders/>
            <w:vAlign w:val="center"/>
          </w:tcPr>
          <w:p>
            <w:pPr>
              <w:pStyle w:val="TableContents"/>
              <w:bidi w:val="0"/>
              <w:spacing w:lineRule="auto" w:line="300" w:before="0" w:after="0"/>
              <w:jc w:val="left"/>
              <w:rPr>
                <w:color w:val="000000"/>
              </w:rPr>
            </w:pPr>
            <w:r>
              <w:rPr>
                <w:color w:val="000000"/>
              </w:rPr>
              <w:t> </w:t>
            </w:r>
          </w:p>
        </w:tc>
        <w:tc>
          <w:tcPr>
            <w:tcW w:w="545" w:type="dxa"/>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Title:</w:t>
            </w:r>
          </w:p>
        </w:tc>
        <w:tc>
          <w:tcPr>
            <w:tcW w:w="1880" w:type="dxa"/>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Chief Financial Officer</w:t>
            </w:r>
          </w:p>
        </w:tc>
      </w:tr>
    </w:tbl>
    <w:p>
      <w:pPr>
        <w:pStyle w:val="TextBody"/>
        <w:bidi w:val="0"/>
        <w:spacing w:lineRule="auto" w:line="300" w:before="0" w:after="0"/>
        <w:jc w:val="left"/>
        <w:rPr>
          <w:color w:val="000000"/>
          <w:shd w:fill="FFFFFF" w:val="clear"/>
        </w:rPr>
      </w:pPr>
      <w:r>
        <w:rPr>
          <w:color w:val="000000"/>
          <w:shd w:fill="FFFFFF" w:val="clear"/>
        </w:rPr>
        <w:t> </w:t>
      </w:r>
    </w:p>
    <w:p>
      <w:pPr>
        <w:pStyle w:val="HorizontalLine"/>
        <w:bidi w:val="0"/>
        <w:spacing w:lineRule="auto" w:line="300"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711</Words>
  <Characters>3837</Characters>
  <CharactersWithSpaces>4524</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